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9A3EA3" w:rsidP="00BF2165">
      <w:pPr>
        <w:jc w:val="center"/>
        <w:rPr>
          <w:rFonts w:ascii="Arial" w:hAnsi="Arial" w:cs="Arial"/>
          <w:b/>
          <w:sz w:val="20"/>
          <w:szCs w:val="20"/>
        </w:rPr>
      </w:pPr>
      <w:r>
        <w:rPr>
          <w:rFonts w:ascii="Arial" w:hAnsi="Arial" w:cs="Arial"/>
          <w:b/>
          <w:sz w:val="20"/>
          <w:szCs w:val="20"/>
        </w:rPr>
        <w:t>Certified Banking Compliance Professional</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Note Sorting Machines - Authentication and Fitness Sorting Parameters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C5648"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Master Direction on Interest Rate on Deposits - Foreign Currency (Non-resident) Accounts (Banks) Scheme [FCNR(B)] and Non-Resident (External) Rupee (NRE) Deposit</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Section 42 of the Reserve Bank of India Act, 1934 and Section 18 and 24 of the Banking Regulation Act, 1949 – FCNR (B)/NRE Term deposits - Exemption from maintenance of CRR/SLR</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Investment by Foreign Portfolio Investors (FPI) in Debt – Relaxations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Board approved Loan Policy – Management of Advances – UCBs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(Borrowing and Lending) (Amendment) Regulations, 2022</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Master Circular - Credit facilities to Scheduled Castes (SCs) &amp; Scheduled Tribes (STs)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External Commercial Borrowings (ECB) Policy – Liberalisation Measures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Master Circular on Credit Facilities to Minority Communities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Gold Monetization Scheme (GMS), 2015</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Outsourcing of Financial Services - Responsibilities of regulated entities employing Recovery Agents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(Overseas Investment) Regulations, 2022</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(Overseas Investment) Directions, 2022</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Incentive for improving service to non-chest branches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guaranteed by Credit Guarantee Schemes (CGS)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Compliance Function and Role of Chief Compliance Officer (CCO)- Urban Co-operative Banks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Late Submission Fee for reporting delays under Foreign Exchange Management Act, 1999 (FEMA)</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Appointment of Internal Ombudsman by the Credit Information Companies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Review of Regulatory Framework for Asset Reconstruction Companies (ARCs)</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Agency Commission for Direct Tax collection under TIN 2.0 regime</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Inclusion of Goods and Service Tax Network (GSTN) as a Financial Information Provider under Account Aggregator Framework</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Calibri" w:hAnsi="Calibri" w:cs="Calibri"/>
                <w:color w:val="000000"/>
                <w:sz w:val="20"/>
                <w:szCs w:val="20"/>
              </w:rPr>
              <w:t>Centers</w:t>
            </w:r>
            <w:proofErr w:type="spellEnd"/>
            <w:r>
              <w:rPr>
                <w:rFonts w:ascii="Calibri" w:hAnsi="Calibri" w:cs="Calibri"/>
                <w:color w:val="000000"/>
                <w:sz w:val="20"/>
                <w:szCs w:val="20"/>
              </w:rPr>
              <w:t xml:space="preserve"> (IFSCs) - Compliance with statutory/regulatory norms</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Revised Regulatory Framework for Urban Co-operative Banks (UCBs) – Net Worth and Capital Adequacy</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Review of SLR holdings in HTM category</w:t>
            </w:r>
          </w:p>
        </w:tc>
      </w:tr>
      <w:tr w:rsidR="009A3EA3" w:rsidRPr="006C5648" w:rsidTr="00BF2165">
        <w:tc>
          <w:tcPr>
            <w:tcW w:w="846" w:type="dxa"/>
            <w:tcBorders>
              <w:top w:val="single" w:sz="4" w:space="0" w:color="auto"/>
              <w:left w:val="single" w:sz="4" w:space="0" w:color="auto"/>
              <w:bottom w:val="single" w:sz="4" w:space="0" w:color="auto"/>
              <w:right w:val="single" w:sz="4" w:space="0" w:color="auto"/>
            </w:tcBorders>
          </w:tcPr>
          <w:p w:rsidR="009A3EA3" w:rsidRPr="006C5648" w:rsidRDefault="009A3EA3"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9A3EA3"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r w:rsidR="00C10ACA" w:rsidRPr="006C5648" w:rsidTr="00BF2165">
        <w:tc>
          <w:tcPr>
            <w:tcW w:w="846" w:type="dxa"/>
            <w:tcBorders>
              <w:top w:val="single" w:sz="4" w:space="0" w:color="auto"/>
              <w:left w:val="single" w:sz="4" w:space="0" w:color="auto"/>
              <w:bottom w:val="single" w:sz="4" w:space="0" w:color="auto"/>
              <w:right w:val="single" w:sz="4" w:space="0" w:color="auto"/>
            </w:tcBorders>
          </w:tcPr>
          <w:p w:rsidR="00C10ACA" w:rsidRPr="006C5648" w:rsidRDefault="00C10ACA"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C10ACA"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material items</w:t>
            </w:r>
          </w:p>
        </w:tc>
      </w:tr>
      <w:tr w:rsidR="00C10ACA" w:rsidRPr="006C5648" w:rsidTr="00BF2165">
        <w:tc>
          <w:tcPr>
            <w:tcW w:w="846" w:type="dxa"/>
            <w:tcBorders>
              <w:top w:val="single" w:sz="4" w:space="0" w:color="auto"/>
              <w:left w:val="single" w:sz="4" w:space="0" w:color="auto"/>
              <w:bottom w:val="single" w:sz="4" w:space="0" w:color="auto"/>
              <w:right w:val="single" w:sz="4" w:space="0" w:color="auto"/>
            </w:tcBorders>
          </w:tcPr>
          <w:p w:rsidR="00C10ACA" w:rsidRPr="006C5648" w:rsidRDefault="00C10ACA"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C10ACA"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355D74" w:rsidRDefault="00355D74" w:rsidP="00355D74">
      <w:pPr>
        <w:spacing w:line="259" w:lineRule="auto"/>
        <w:rPr>
          <w:rFonts w:ascii="Arial" w:hAnsi="Arial" w:cs="Arial"/>
          <w:b/>
          <w:bCs/>
          <w:color w:val="000000"/>
          <w:sz w:val="20"/>
          <w:szCs w:val="20"/>
        </w:rPr>
      </w:pPr>
      <w:r>
        <w:rPr>
          <w:rFonts w:ascii="Arial" w:hAnsi="Arial" w:cs="Arial"/>
          <w:b/>
          <w:bCs/>
          <w:color w:val="000000"/>
          <w:sz w:val="20"/>
          <w:szCs w:val="20"/>
        </w:rPr>
        <w:lastRenderedPageBreak/>
        <w:t>Note Sorting Machines - Authentication and Fitness Sorting Parameters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RBI/2022-23/79</w:t>
      </w:r>
      <w:r>
        <w:rPr>
          <w:rFonts w:ascii="Arial" w:hAnsi="Arial" w:cs="Arial"/>
          <w:color w:val="000000"/>
          <w:sz w:val="20"/>
          <w:szCs w:val="20"/>
        </w:rPr>
        <w:br/>
        <w:t>DCM(NPD)No.S488/18.00.14/2022-23</w:t>
      </w:r>
    </w:p>
    <w:p w:rsidR="00355D74" w:rsidRDefault="00355D74" w:rsidP="00355D74">
      <w:pPr>
        <w:pStyle w:val="NormalWeb"/>
        <w:jc w:val="right"/>
        <w:rPr>
          <w:rFonts w:ascii="Arial" w:hAnsi="Arial" w:cs="Arial"/>
          <w:color w:val="000000"/>
          <w:sz w:val="20"/>
          <w:szCs w:val="20"/>
        </w:rPr>
      </w:pPr>
      <w:r>
        <w:rPr>
          <w:rFonts w:ascii="Arial" w:hAnsi="Arial" w:cs="Arial"/>
          <w:color w:val="000000"/>
          <w:sz w:val="20"/>
          <w:szCs w:val="20"/>
        </w:rPr>
        <w:t>July 1,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The Chairman/ Managing Director/ Chief Executive Officers</w:t>
      </w:r>
      <w:r>
        <w:rPr>
          <w:rFonts w:ascii="Arial" w:hAnsi="Arial" w:cs="Arial"/>
          <w:color w:val="000000"/>
          <w:sz w:val="20"/>
          <w:szCs w:val="20"/>
        </w:rPr>
        <w:br/>
        <w:t>All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Dear Sir/Madam</w:t>
      </w:r>
    </w:p>
    <w:p w:rsidR="00355D74" w:rsidRDefault="00355D74" w:rsidP="00355D74">
      <w:pPr>
        <w:pStyle w:val="head"/>
        <w:rPr>
          <w:rFonts w:ascii="Arial" w:hAnsi="Arial" w:cs="Arial"/>
          <w:b/>
          <w:bCs/>
          <w:color w:val="000000"/>
          <w:sz w:val="20"/>
          <w:szCs w:val="20"/>
        </w:rPr>
      </w:pPr>
      <w:r>
        <w:rPr>
          <w:rFonts w:ascii="Arial" w:hAnsi="Arial" w:cs="Arial"/>
          <w:b/>
          <w:bCs/>
          <w:color w:val="000000"/>
          <w:sz w:val="20"/>
          <w:szCs w:val="20"/>
        </w:rPr>
        <w:t>Note Sorting Machines - Authentication and Fitness Sorting Parameters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Please refer to our </w:t>
      </w:r>
      <w:hyperlink r:id="rId6" w:tgtFrame="_blank" w:history="1">
        <w:r>
          <w:rPr>
            <w:rStyle w:val="Hyperlink"/>
            <w:rFonts w:ascii="Arial" w:hAnsi="Arial" w:cs="Arial"/>
            <w:sz w:val="20"/>
            <w:szCs w:val="20"/>
          </w:rPr>
          <w:t>circular DCM(R&amp;D)No.G-26/18.00.14/2009-10 dated May 11, 2010</w:t>
        </w:r>
      </w:hyperlink>
      <w:r>
        <w:rPr>
          <w:rFonts w:ascii="Arial" w:hAnsi="Arial" w:cs="Arial"/>
          <w:color w:val="000000"/>
          <w:sz w:val="20"/>
          <w:szCs w:val="20"/>
        </w:rPr>
        <w:t> setting out ''Note Authentication and Fitness Sorting Parameters'' for the Note Sorting Machines installed in the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2. In the backdrop of introduction of the new series banknotes, these parameters have been reviewed and a revised set of guidelines are </w:t>
      </w:r>
      <w:hyperlink r:id="rId7" w:anchor="GL" w:history="1">
        <w:r>
          <w:rPr>
            <w:rStyle w:val="Hyperlink"/>
            <w:rFonts w:ascii="Arial" w:hAnsi="Arial" w:cs="Arial"/>
            <w:sz w:val="20"/>
            <w:szCs w:val="20"/>
          </w:rPr>
          <w:t>enclosed</w:t>
        </w:r>
      </w:hyperlink>
      <w:r>
        <w:rPr>
          <w:rFonts w:ascii="Arial" w:hAnsi="Arial" w:cs="Arial"/>
          <w:color w:val="000000"/>
          <w:sz w:val="20"/>
          <w:szCs w:val="20"/>
        </w:rPr>
        <w:t> for implementation.</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3. The guidelines shall be implemented with immediate effect.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Yours faithfully</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r>
        <w:t>More details can be referred to in the below link.</w:t>
      </w:r>
    </w:p>
    <w:p w:rsidR="00355D74" w:rsidRDefault="00355D74" w:rsidP="00355D7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https://www.rbi.org.in/Scripts/NotificationUser.aspx?Id=12347&amp;Mode=0</w:t>
        </w:r>
      </w:hyperlink>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rsidP="00355D74">
      <w:pPr>
        <w:spacing w:line="259" w:lineRule="auto"/>
        <w:rPr>
          <w:rFonts w:ascii="Arial" w:hAnsi="Arial" w:cs="Arial"/>
          <w:bCs/>
          <w:color w:val="000000"/>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rsidP="00355D74">
      <w:pPr>
        <w:spacing w:line="259" w:lineRule="auto"/>
        <w:rPr>
          <w:rFonts w:ascii="Arial" w:hAnsi="Arial" w:cs="Arial"/>
          <w:b/>
          <w:bCs/>
          <w:color w:val="000000"/>
          <w:sz w:val="20"/>
          <w:szCs w:val="20"/>
        </w:rPr>
      </w:pPr>
      <w:r>
        <w:rPr>
          <w:rFonts w:ascii="Arial" w:hAnsi="Arial" w:cs="Arial"/>
          <w:b/>
          <w:bCs/>
          <w:color w:val="000000"/>
          <w:sz w:val="20"/>
          <w:szCs w:val="20"/>
        </w:rPr>
        <w:lastRenderedPageBreak/>
        <w:t>Master Direction on Interest Rate on Deposits - Foreign Currency (Non-resident) Accounts (Banks) Scheme [FCNR(B)] and Non-Resident (External) Rupee (NRE) Deposit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RBI/2022-23/82</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53/13.03.000/2022-23</w:t>
      </w:r>
    </w:p>
    <w:p w:rsidR="00355D74" w:rsidRDefault="00355D74" w:rsidP="00355D74">
      <w:pPr>
        <w:pStyle w:val="NormalWeb"/>
        <w:jc w:val="right"/>
        <w:rPr>
          <w:rFonts w:ascii="Arial" w:hAnsi="Arial" w:cs="Arial"/>
          <w:color w:val="000000"/>
          <w:sz w:val="20"/>
          <w:szCs w:val="20"/>
        </w:rPr>
      </w:pPr>
      <w:r>
        <w:rPr>
          <w:rFonts w:ascii="Arial" w:hAnsi="Arial" w:cs="Arial"/>
          <w:color w:val="000000"/>
          <w:sz w:val="20"/>
          <w:szCs w:val="20"/>
        </w:rPr>
        <w:t>July 06,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Local Area Banks</w:t>
      </w:r>
      <w:r>
        <w:rPr>
          <w:rFonts w:ascii="Arial" w:hAnsi="Arial" w:cs="Arial"/>
          <w:color w:val="000000"/>
          <w:sz w:val="20"/>
          <w:szCs w:val="20"/>
        </w:rPr>
        <w:br/>
        <w:t>All Payment Banks</w:t>
      </w:r>
      <w:r>
        <w:rPr>
          <w:rFonts w:ascii="Arial" w:hAnsi="Arial" w:cs="Arial"/>
          <w:color w:val="000000"/>
          <w:sz w:val="20"/>
          <w:szCs w:val="20"/>
        </w:rPr>
        <w:br/>
        <w:t>All Primary (Urban) Co-operative Banks/ DCCBs /State Cooperative Banks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Dear Sir / Madam,</w:t>
      </w:r>
    </w:p>
    <w:p w:rsidR="00355D74" w:rsidRDefault="00355D74" w:rsidP="00355D74">
      <w:pPr>
        <w:pStyle w:val="head"/>
        <w:rPr>
          <w:rFonts w:ascii="Arial" w:hAnsi="Arial" w:cs="Arial"/>
          <w:b/>
          <w:bCs/>
          <w:color w:val="000000"/>
          <w:sz w:val="20"/>
          <w:szCs w:val="20"/>
        </w:rPr>
      </w:pPr>
      <w:r>
        <w:rPr>
          <w:rFonts w:ascii="Arial" w:hAnsi="Arial" w:cs="Arial"/>
          <w:b/>
          <w:bCs/>
          <w:color w:val="000000"/>
          <w:sz w:val="20"/>
          <w:szCs w:val="20"/>
        </w:rPr>
        <w:t>Master Direction on Interest Rate on Deposits - Foreign Currency (Non-resident) Accounts (Banks) Scheme [FCNR(B)] and Non-Resident (External) Rupee (NRE) Deposit</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Please refer to the instructions regarding interest rates on FCNR (B) deposits contained in Section 19 of the </w:t>
      </w:r>
      <w:hyperlink r:id="rId9"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Section 18 of the </w:t>
      </w:r>
      <w:hyperlink r:id="rId10" w:tgtFrame="_blank" w:history="1">
        <w:r>
          <w:rPr>
            <w:rStyle w:val="Hyperlink"/>
            <w:rFonts w:ascii="Arial" w:hAnsi="Arial" w:cs="Arial"/>
            <w:sz w:val="20"/>
            <w:szCs w:val="20"/>
          </w:rPr>
          <w:t>Master Direction (MD) on Interest Rate on Deposits dated May 12, 2016</w:t>
        </w:r>
      </w:hyperlink>
      <w:r>
        <w:rPr>
          <w:rFonts w:ascii="Arial" w:hAnsi="Arial" w:cs="Arial"/>
          <w:color w:val="000000"/>
          <w:sz w:val="20"/>
          <w:szCs w:val="20"/>
        </w:rPr>
        <w:t>. In this connection, banks are advised that with effect from July 07, 2022, the interest rate ceiling applicable to FCNR (B) deposits is being temporarily withdrawn for incremental FCNR (B) deposits mobilized by banks for the period until October 31, 2022.</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2. Further, in terms of Section 15 (d) and Section 14 (d) of the above-mentioned MDs respectively, interest rates on NRE deposits shall not be higher than those offered by the banks on comparable domestic rupee term deposits. In this regard, the said restriction with respect to interest rates offered on incremental NRE deposits mobilized by banks shall be temporarily withdrawn with effect from July 07, 2022, for the period until October 31, 2022. The above relaxation shall not be applicable to Ordinary Non-Resident (NRO) Deposits.</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3. These concessions will be subject to review.</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4. All other instructions in this regard shall remain unchanged.</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Yours faithfully,</w:t>
      </w:r>
    </w:p>
    <w:p w:rsidR="00355D74" w:rsidRDefault="00355D74" w:rsidP="00355D74">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pPr>
        <w:spacing w:line="259" w:lineRule="auto"/>
        <w:rPr>
          <w:rFonts w:ascii="Arial" w:hAnsi="Arial" w:cs="Arial"/>
          <w:sz w:val="20"/>
          <w:szCs w:val="20"/>
        </w:rPr>
      </w:pPr>
    </w:p>
    <w:p w:rsidR="00355D74" w:rsidRDefault="00355D74" w:rsidP="00355D74">
      <w:r>
        <w:t>More details can be referred to in the below link.</w:t>
      </w:r>
    </w:p>
    <w:p w:rsidR="00355D74" w:rsidRDefault="00355D74" w:rsidP="00355D7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6865D6">
          <w:rPr>
            <w:rStyle w:val="Hyperlink"/>
            <w:rFonts w:ascii="Arial" w:hAnsi="Arial" w:cs="Arial"/>
            <w:bCs/>
            <w:sz w:val="20"/>
            <w:szCs w:val="20"/>
          </w:rPr>
          <w:t>https://rbi.org.in/Scripts/NotificationUser.aspx?Id=12350&amp;Mode=0</w:t>
        </w:r>
      </w:hyperlink>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355D74" w:rsidRDefault="00355D74">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Section 42 of the Reserve Bank of India Act, 1934 and Section 18 and 24 of the Banking Regulation Act, 1949 – FCNR (B)/NRE Term deposits - Exemption from maintenance of CRR/SLR</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RBI/2022-23/83</w:t>
      </w:r>
      <w:r w:rsidRPr="0001134A">
        <w:rPr>
          <w:rFonts w:ascii="Arial" w:eastAsia="Times New Roman" w:hAnsi="Arial" w:cs="Arial"/>
          <w:color w:val="000000"/>
          <w:sz w:val="20"/>
          <w:szCs w:val="20"/>
          <w:lang w:eastAsia="en-IN"/>
        </w:rPr>
        <w:br/>
        <w:t>DOR.RET.REC.54/12.01.001/2022-23</w:t>
      </w:r>
    </w:p>
    <w:p w:rsidR="002D338D" w:rsidRPr="0001134A" w:rsidRDefault="002D338D" w:rsidP="002D338D">
      <w:pPr>
        <w:spacing w:before="100" w:beforeAutospacing="1" w:after="100" w:afterAutospacing="1" w:line="240" w:lineRule="auto"/>
        <w:jc w:val="right"/>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July 06, 2022</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All Scheduled Commercial Banks (including Regional Rural Banks)</w:t>
      </w:r>
      <w:r w:rsidRPr="0001134A">
        <w:rPr>
          <w:rFonts w:ascii="Arial" w:eastAsia="Times New Roman" w:hAnsi="Arial" w:cs="Arial"/>
          <w:color w:val="000000"/>
          <w:sz w:val="20"/>
          <w:szCs w:val="20"/>
          <w:lang w:eastAsia="en-IN"/>
        </w:rPr>
        <w:br/>
        <w:t>Local Area Banks, Small Finance Banks, Payments Banks</w:t>
      </w:r>
      <w:r w:rsidRPr="0001134A">
        <w:rPr>
          <w:rFonts w:ascii="Arial" w:eastAsia="Times New Roman" w:hAnsi="Arial" w:cs="Arial"/>
          <w:color w:val="000000"/>
          <w:sz w:val="20"/>
          <w:szCs w:val="20"/>
          <w:lang w:eastAsia="en-IN"/>
        </w:rPr>
        <w:br/>
        <w:t>Primary (Urban) Co-operative Banks (UCBs)</w:t>
      </w:r>
      <w:r w:rsidRPr="0001134A">
        <w:rPr>
          <w:rFonts w:ascii="Arial" w:eastAsia="Times New Roman" w:hAnsi="Arial" w:cs="Arial"/>
          <w:color w:val="000000"/>
          <w:sz w:val="20"/>
          <w:szCs w:val="20"/>
          <w:lang w:eastAsia="en-IN"/>
        </w:rPr>
        <w:br/>
        <w:t>State and Central Co-operative Banks (</w:t>
      </w:r>
      <w:proofErr w:type="spellStart"/>
      <w:r w:rsidRPr="0001134A">
        <w:rPr>
          <w:rFonts w:ascii="Arial" w:eastAsia="Times New Roman" w:hAnsi="Arial" w:cs="Arial"/>
          <w:color w:val="000000"/>
          <w:sz w:val="20"/>
          <w:szCs w:val="20"/>
          <w:lang w:eastAsia="en-IN"/>
        </w:rPr>
        <w:t>StCBs</w:t>
      </w:r>
      <w:proofErr w:type="spellEnd"/>
      <w:r w:rsidRPr="0001134A">
        <w:rPr>
          <w:rFonts w:ascii="Arial" w:eastAsia="Times New Roman" w:hAnsi="Arial" w:cs="Arial"/>
          <w:color w:val="000000"/>
          <w:sz w:val="20"/>
          <w:szCs w:val="20"/>
          <w:lang w:eastAsia="en-IN"/>
        </w:rPr>
        <w:t xml:space="preserve"> / CCBs)</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Madam/Dear Sir,</w:t>
      </w:r>
    </w:p>
    <w:p w:rsidR="002D338D" w:rsidRPr="0001134A" w:rsidRDefault="002D338D" w:rsidP="002D338D">
      <w:pPr>
        <w:spacing w:before="100" w:beforeAutospacing="1" w:after="100" w:afterAutospacing="1" w:line="240" w:lineRule="auto"/>
        <w:rPr>
          <w:rFonts w:ascii="Arial" w:eastAsia="Times New Roman" w:hAnsi="Arial" w:cs="Arial"/>
          <w:b/>
          <w:bCs/>
          <w:color w:val="000000"/>
          <w:sz w:val="20"/>
          <w:szCs w:val="20"/>
          <w:lang w:eastAsia="en-IN"/>
        </w:rPr>
      </w:pPr>
      <w:r w:rsidRPr="0001134A">
        <w:rPr>
          <w:rFonts w:ascii="Arial" w:eastAsia="Times New Roman" w:hAnsi="Arial" w:cs="Arial"/>
          <w:b/>
          <w:bCs/>
          <w:color w:val="000000"/>
          <w:sz w:val="20"/>
          <w:szCs w:val="20"/>
          <w:lang w:eastAsia="en-IN"/>
        </w:rPr>
        <w:t>Section 42 of the Reserve Bank of India Act, 1934 and Section 18 and 24 of the Banking Regulation Act, 1949 – FCNR (B)/NRE Term deposits - Exemption from maintenance of CRR/SLR</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At present, banks are required to include all Foreign Currency Non-Resident (Bank) [FCNR (B)] and Non-Resident (External) Rupee (NRE) deposit liabilities for computation of Net Demand and Time Liabilities (NDTL) for maintenance of CRR and SLR.</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2. Banks are advised that with effect from the reporting fortnight beginning July 30, 2022, incremental FCNR (B) deposits as also NRE Term deposits with reference to base date of July 1, 2022, mobilised by banks will be exempt from maintenance of CRR and SLR. To amplify, if a bank had total FCNR (B) deposit of say USD 100 as on the base date, and mobilises an incremental deposit of say USD 20, that portion of USD 20 will not be part of liabilities reckoned for the purpose of NDTL computation for CRR and SLR maintenance with effect from the fortnight beginning July 30, 2022. The same principle will apply for calculation of NRE Term deposits for exemption from maintenance of CRR/SLR requirements. However, any transfer from Non-Resident (Ordinary) (NRO) accounts to NRE accounts will not qualify for such exemptions.</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3. The above exemptions are valid for deposits raised till November 04, 2022. The exemption on reserves maintenance will be available for the original deposit amounts till such time the deposits are held in the bank books.</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Yours faithfully</w:t>
      </w:r>
    </w:p>
    <w:p w:rsidR="002D338D" w:rsidRPr="0001134A" w:rsidRDefault="002D338D" w:rsidP="002D338D">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 xml:space="preserve">(Prakash </w:t>
      </w:r>
      <w:proofErr w:type="spellStart"/>
      <w:r w:rsidRPr="0001134A">
        <w:rPr>
          <w:rFonts w:ascii="Arial" w:eastAsia="Times New Roman" w:hAnsi="Arial" w:cs="Arial"/>
          <w:color w:val="000000"/>
          <w:sz w:val="20"/>
          <w:szCs w:val="20"/>
          <w:lang w:eastAsia="en-IN"/>
        </w:rPr>
        <w:t>Baliarsingh</w:t>
      </w:r>
      <w:proofErr w:type="spellEnd"/>
      <w:r w:rsidRPr="0001134A">
        <w:rPr>
          <w:rFonts w:ascii="Arial" w:eastAsia="Times New Roman" w:hAnsi="Arial" w:cs="Arial"/>
          <w:color w:val="000000"/>
          <w:sz w:val="20"/>
          <w:szCs w:val="20"/>
          <w:lang w:eastAsia="en-IN"/>
        </w:rPr>
        <w:t>)</w:t>
      </w:r>
      <w:r w:rsidRPr="0001134A">
        <w:rPr>
          <w:rFonts w:ascii="Arial" w:eastAsia="Times New Roman" w:hAnsi="Arial" w:cs="Arial"/>
          <w:color w:val="000000"/>
          <w:sz w:val="20"/>
          <w:szCs w:val="20"/>
          <w:lang w:eastAsia="en-IN"/>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2" w:history="1">
        <w:r w:rsidRPr="006865D6">
          <w:rPr>
            <w:rStyle w:val="Hyperlink"/>
            <w:rFonts w:ascii="Arial" w:hAnsi="Arial" w:cs="Arial"/>
            <w:bCs/>
            <w:sz w:val="20"/>
            <w:szCs w:val="20"/>
          </w:rPr>
          <w:t>https://www.rbi.org.in/scripts/NotificationUser.aspx?Id=12351&amp;Mode=0</w:t>
        </w:r>
      </w:hyperlink>
    </w:p>
    <w:p w:rsidR="00355D74" w:rsidRDefault="00355D74">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rsidP="002D338D">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July 07,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13"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2D338D" w:rsidRDefault="002D338D" w:rsidP="002D338D">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14"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2D338D" w:rsidRDefault="002D338D" w:rsidP="002D338D">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w:t>
      </w:r>
      <w:hyperlink r:id="rId15"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In terms of paragraphs 4(b)(i)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4.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may bring the contents of this circular to the notice of their constituents and customers concerned.</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2D338D" w:rsidRPr="002C55B6" w:rsidRDefault="002D338D" w:rsidP="002D338D">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2D338D" w:rsidRPr="00FB49BF" w:rsidRDefault="002D338D" w:rsidP="002D338D">
      <w:pPr>
        <w:spacing w:after="0"/>
        <w:rPr>
          <w:rFonts w:ascii="Arial" w:hAnsi="Arial" w:cs="Arial"/>
          <w:sz w:val="20"/>
          <w:szCs w:val="20"/>
        </w:rPr>
      </w:pPr>
      <w:r w:rsidRPr="00FB49BF">
        <w:rPr>
          <w:rFonts w:ascii="Arial" w:hAnsi="Arial" w:cs="Arial"/>
          <w:sz w:val="20"/>
          <w:szCs w:val="20"/>
        </w:rPr>
        <w:t>Yours faithfully,</w:t>
      </w:r>
    </w:p>
    <w:p w:rsidR="002D338D" w:rsidRPr="00FB49BF" w:rsidRDefault="002D338D" w:rsidP="002D338D">
      <w:pPr>
        <w:spacing w:after="0"/>
        <w:rPr>
          <w:rFonts w:ascii="Arial" w:hAnsi="Arial" w:cs="Arial"/>
          <w:sz w:val="20"/>
          <w:szCs w:val="20"/>
        </w:rPr>
      </w:pPr>
      <w:r w:rsidRPr="00FB49BF">
        <w:rPr>
          <w:rFonts w:ascii="Arial" w:hAnsi="Arial" w:cs="Arial"/>
          <w:sz w:val="20"/>
          <w:szCs w:val="20"/>
        </w:rPr>
        <w:t xml:space="preserve">(Dimple </w:t>
      </w:r>
      <w:proofErr w:type="spellStart"/>
      <w:r w:rsidRPr="00FB49BF">
        <w:rPr>
          <w:rFonts w:ascii="Arial" w:hAnsi="Arial" w:cs="Arial"/>
          <w:sz w:val="20"/>
          <w:szCs w:val="20"/>
        </w:rPr>
        <w:t>Bhandia</w:t>
      </w:r>
      <w:proofErr w:type="spellEnd"/>
      <w:r w:rsidRPr="00FB49BF">
        <w:rPr>
          <w:rFonts w:ascii="Arial" w:hAnsi="Arial" w:cs="Arial"/>
          <w:sz w:val="20"/>
          <w:szCs w:val="20"/>
        </w:rPr>
        <w:t>)</w:t>
      </w:r>
    </w:p>
    <w:p w:rsidR="002D338D" w:rsidRPr="00FB49BF" w:rsidRDefault="002D338D" w:rsidP="002D338D">
      <w:pPr>
        <w:spacing w:after="0"/>
        <w:rPr>
          <w:rFonts w:ascii="Arial" w:hAnsi="Arial" w:cs="Arial"/>
          <w:sz w:val="20"/>
          <w:szCs w:val="20"/>
        </w:rPr>
      </w:pPr>
      <w:r w:rsidRPr="00FB49BF">
        <w:rPr>
          <w:rFonts w:ascii="Arial" w:hAnsi="Arial" w:cs="Arial"/>
          <w:sz w:val="20"/>
          <w:szCs w:val="20"/>
        </w:rPr>
        <w:t>Chief General Manager</w:t>
      </w:r>
    </w:p>
    <w:p w:rsidR="002D338D" w:rsidRDefault="002D338D" w:rsidP="002D338D"/>
    <w:p w:rsidR="002D338D" w:rsidRDefault="002D338D" w:rsidP="002D338D">
      <w:r>
        <w:t>More details can be referred to in the below link.</w:t>
      </w:r>
    </w:p>
    <w:p w:rsidR="002D338D" w:rsidRDefault="002D338D" w:rsidP="002D338D">
      <w:pPr>
        <w:spacing w:after="0"/>
        <w:jc w:val="both"/>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200311">
          <w:rPr>
            <w:rStyle w:val="Hyperlink"/>
            <w:rFonts w:ascii="Arial" w:hAnsi="Arial" w:cs="Arial"/>
            <w:bCs/>
            <w:sz w:val="20"/>
            <w:szCs w:val="20"/>
          </w:rPr>
          <w:t>https://rbi.org.in/scripts/FS_Notification.aspx?Id=12355&amp;fn=6&amp;Mode=0</w:t>
        </w:r>
      </w:hyperlink>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lastRenderedPageBreak/>
        <w:t>Board approved Loan Policy – Management of Advances – UCBs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RBI/2022-23/93</w:t>
      </w:r>
      <w:r>
        <w:rPr>
          <w:rFonts w:ascii="Arial" w:hAnsi="Arial" w:cs="Arial"/>
          <w:color w:val="000000"/>
          <w:sz w:val="20"/>
          <w:szCs w:val="20"/>
        </w:rPr>
        <w:br/>
        <w:t>DOR.CRE.REC.56/13.05.000/2022-23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July 26,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 1 of the </w:t>
      </w:r>
      <w:hyperlink r:id="rId17" w:tgtFrame="_blank" w:history="1">
        <w:r>
          <w:rPr>
            <w:rStyle w:val="Hyperlink"/>
            <w:rFonts w:ascii="Arial" w:hAnsi="Arial" w:cs="Arial"/>
            <w:sz w:val="20"/>
            <w:szCs w:val="20"/>
          </w:rPr>
          <w:t>Master Circular DOR.CRE.REC.No.17/13.05.000/2022-23 dated April 8, 2022</w:t>
        </w:r>
      </w:hyperlink>
      <w:r>
        <w:rPr>
          <w:rFonts w:ascii="Arial" w:hAnsi="Arial" w:cs="Arial"/>
          <w:color w:val="000000"/>
          <w:sz w:val="20"/>
          <w:szCs w:val="20"/>
        </w:rPr>
        <w:t> on Management of Advances – UCBs in terms of which, UCBs are required to lay down, with the approval of their boards, transparent policies and guidelines for credit dispensation, in respect of each broad category of economic activity, keeping in view the credit exposure norms and various other guidelines issued by Reserve Bank from time to time.</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It has been observed in several UCBs that these policies not only lack comprehensive coverage, but also do not require a periodic review. In order to ensure that the loan policy reflects approved internal risk appetite and remains in alignment with the extant regulations, it is advised that the loan policy of the bank shall be reviewed by the Board at least once in a financial year.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The above instructions will come into effect immediately.</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735218">
          <w:rPr>
            <w:rStyle w:val="Hyperlink"/>
            <w:rFonts w:ascii="Arial" w:hAnsi="Arial" w:cs="Arial"/>
            <w:bCs/>
            <w:sz w:val="20"/>
            <w:szCs w:val="20"/>
          </w:rPr>
          <w:t>https://www.rbi.org.in/scripts/NotificationUser.aspx?Id=12361&amp;Mode=0</w:t>
        </w:r>
      </w:hyperlink>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Pr="00583041" w:rsidRDefault="002D338D" w:rsidP="002D338D">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Reserve Bank of India</w:t>
      </w: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Foreign Exchange Department</w:t>
      </w: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Central Office</w:t>
      </w: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Mumbai</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Notification No. FEMA.3(R)(3)/2022-RB</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right"/>
        <w:rPr>
          <w:rFonts w:ascii="Arial" w:hAnsi="Arial" w:cs="Arial"/>
          <w:sz w:val="20"/>
          <w:szCs w:val="20"/>
        </w:rPr>
      </w:pPr>
      <w:r w:rsidRPr="00583041">
        <w:rPr>
          <w:rFonts w:ascii="Arial" w:hAnsi="Arial" w:cs="Arial"/>
          <w:sz w:val="20"/>
          <w:szCs w:val="20"/>
        </w:rPr>
        <w:t>July 28, 2022</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1. Short Title &amp; Commencement:</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(i) These Regulations may be called the Foreign Exchange Management (Borrowing and Lending) (Third Amendment) Regulations, 2022.</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2. Amendment to Paragraph 2 of Schedule 1:</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2D338D" w:rsidRPr="00583041" w:rsidRDefault="002D338D" w:rsidP="002D338D">
      <w:pPr>
        <w:spacing w:after="0"/>
        <w:jc w:val="both"/>
        <w:rPr>
          <w:rFonts w:ascii="Arial" w:hAnsi="Arial" w:cs="Arial"/>
          <w:sz w:val="20"/>
          <w:szCs w:val="20"/>
        </w:rPr>
      </w:pPr>
    </w:p>
    <w:p w:rsidR="002D338D" w:rsidRPr="00583041" w:rsidRDefault="002D338D" w:rsidP="002D338D">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2D338D" w:rsidRDefault="002D338D" w:rsidP="002D338D">
      <w:pPr>
        <w:spacing w:after="0"/>
        <w:jc w:val="both"/>
        <w:rPr>
          <w:rFonts w:ascii="Arial" w:hAnsi="Arial" w:cs="Arial"/>
          <w:sz w:val="20"/>
          <w:szCs w:val="20"/>
        </w:rPr>
      </w:pPr>
      <w:r w:rsidRPr="00583041">
        <w:rPr>
          <w:rFonts w:ascii="Arial" w:hAnsi="Arial" w:cs="Arial"/>
          <w:sz w:val="20"/>
          <w:szCs w:val="20"/>
        </w:rPr>
        <w:t>Chief General Manager-in-charge</w:t>
      </w:r>
    </w:p>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rPr>
          <w:rFonts w:ascii="Arial" w:hAnsi="Arial" w:cs="Arial"/>
          <w:sz w:val="20"/>
          <w:szCs w:val="20"/>
        </w:rPr>
      </w:pPr>
      <w:r>
        <w:rPr>
          <w:rFonts w:ascii="Arial" w:hAnsi="Arial" w:cs="Arial"/>
          <w:sz w:val="20"/>
          <w:szCs w:val="20"/>
        </w:rPr>
        <w:t xml:space="preserve">Reference Link: </w:t>
      </w:r>
      <w:hyperlink r:id="rId19"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2D338D" w:rsidRDefault="002D338D" w:rsidP="002D338D">
      <w:pPr>
        <w:rPr>
          <w:rFonts w:ascii="Arial" w:hAnsi="Arial" w:cs="Arial"/>
          <w:sz w:val="20"/>
          <w:szCs w:val="20"/>
        </w:rPr>
      </w:pPr>
    </w:p>
    <w:p w:rsidR="002D338D" w:rsidRDefault="002D338D" w:rsidP="002D338D">
      <w:pPr>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r>
        <w:rPr>
          <w:rFonts w:ascii="Arial" w:hAnsi="Arial" w:cs="Arial"/>
          <w:b/>
          <w:bCs/>
          <w:color w:val="000000"/>
          <w:sz w:val="20"/>
          <w:szCs w:val="20"/>
        </w:rPr>
        <w:t>Master Circular - Credit facilities to Scheduled Castes (SCs) &amp; Scheduled Tribes (STs)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D46755" w:rsidRDefault="00D46755" w:rsidP="00D46755">
      <w:pPr>
        <w:pStyle w:val="NormalWeb"/>
        <w:jc w:val="right"/>
        <w:rPr>
          <w:rFonts w:ascii="Arial" w:hAnsi="Arial" w:cs="Arial"/>
          <w:color w:val="000000"/>
          <w:sz w:val="20"/>
          <w:szCs w:val="20"/>
        </w:rPr>
      </w:pPr>
      <w:r>
        <w:rPr>
          <w:rFonts w:ascii="Arial" w:hAnsi="Arial" w:cs="Arial"/>
          <w:color w:val="000000"/>
          <w:sz w:val="20"/>
          <w:szCs w:val="20"/>
        </w:rPr>
        <w:t>August 1, 2022</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Madam/ Dear Sir,</w:t>
      </w:r>
    </w:p>
    <w:p w:rsidR="00D46755" w:rsidRDefault="00D46755" w:rsidP="00D46755">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0"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below points.</w:t>
      </w:r>
    </w:p>
    <w:p w:rsidR="00D46755" w:rsidRPr="00556D17" w:rsidRDefault="00D46755" w:rsidP="00D46755">
      <w:pPr>
        <w:pStyle w:val="NormalWeb"/>
        <w:rPr>
          <w:rFonts w:ascii="Arial" w:hAnsi="Arial" w:cs="Arial"/>
          <w:color w:val="000000"/>
          <w:sz w:val="20"/>
          <w:szCs w:val="20"/>
        </w:rPr>
      </w:pPr>
      <w:r w:rsidRPr="00556D17">
        <w:rPr>
          <w:rFonts w:ascii="Arial" w:hAnsi="Arial" w:cs="Arial"/>
          <w:bCs/>
          <w:color w:val="000000"/>
          <w:sz w:val="20"/>
          <w:szCs w:val="20"/>
        </w:rPr>
        <w:t>1. Planning Process</w:t>
      </w:r>
    </w:p>
    <w:p w:rsidR="00D46755" w:rsidRPr="00556D17" w:rsidRDefault="00D46755" w:rsidP="00D46755">
      <w:pPr>
        <w:pStyle w:val="NormalWeb"/>
        <w:rPr>
          <w:rFonts w:ascii="Arial" w:hAnsi="Arial" w:cs="Arial"/>
          <w:bCs/>
          <w:color w:val="000000"/>
          <w:sz w:val="20"/>
          <w:szCs w:val="20"/>
        </w:rPr>
      </w:pPr>
      <w:r w:rsidRPr="00556D17">
        <w:rPr>
          <w:rFonts w:ascii="Arial" w:hAnsi="Arial" w:cs="Arial"/>
          <w:bCs/>
          <w:color w:val="000000"/>
          <w:sz w:val="20"/>
          <w:szCs w:val="20"/>
        </w:rPr>
        <w:t>2. Role of Banks</w:t>
      </w:r>
    </w:p>
    <w:p w:rsidR="00D46755" w:rsidRPr="00556D17" w:rsidRDefault="00D46755" w:rsidP="00D46755">
      <w:pPr>
        <w:pStyle w:val="NormalWeb"/>
        <w:rPr>
          <w:rFonts w:ascii="Arial" w:hAnsi="Arial" w:cs="Arial"/>
          <w:bCs/>
          <w:color w:val="000000"/>
          <w:sz w:val="20"/>
          <w:szCs w:val="20"/>
        </w:rPr>
      </w:pPr>
      <w:r w:rsidRPr="00556D17">
        <w:rPr>
          <w:rFonts w:ascii="Arial" w:hAnsi="Arial" w:cs="Arial"/>
          <w:bCs/>
          <w:color w:val="000000"/>
          <w:sz w:val="20"/>
          <w:szCs w:val="20"/>
        </w:rPr>
        <w:t>3. Role of SC/ST Development Corporations</w:t>
      </w:r>
    </w:p>
    <w:p w:rsidR="00D46755" w:rsidRPr="00556D17" w:rsidRDefault="00D46755" w:rsidP="00D46755">
      <w:pPr>
        <w:pStyle w:val="NormalWeb"/>
        <w:rPr>
          <w:rFonts w:ascii="Arial" w:hAnsi="Arial" w:cs="Arial"/>
          <w:bCs/>
          <w:color w:val="000000"/>
          <w:sz w:val="20"/>
          <w:szCs w:val="20"/>
        </w:rPr>
      </w:pPr>
      <w:r w:rsidRPr="00556D17">
        <w:rPr>
          <w:rFonts w:ascii="Arial" w:hAnsi="Arial" w:cs="Arial"/>
          <w:bCs/>
          <w:color w:val="000000"/>
          <w:sz w:val="20"/>
          <w:szCs w:val="20"/>
        </w:rPr>
        <w:t>4. Reservations for SC/ST beneficiaries under major Centrally Sponsored Schemes.</w:t>
      </w:r>
    </w:p>
    <w:p w:rsidR="00D46755" w:rsidRPr="00556D17" w:rsidRDefault="00D46755" w:rsidP="00D46755">
      <w:pPr>
        <w:pStyle w:val="NormalWeb"/>
        <w:rPr>
          <w:rFonts w:ascii="Arial" w:hAnsi="Arial" w:cs="Arial"/>
          <w:bCs/>
          <w:color w:val="000000"/>
          <w:sz w:val="20"/>
          <w:szCs w:val="20"/>
        </w:rPr>
      </w:pPr>
      <w:r w:rsidRPr="00556D17">
        <w:rPr>
          <w:rFonts w:ascii="Arial" w:hAnsi="Arial" w:cs="Arial"/>
          <w:bCs/>
          <w:color w:val="000000"/>
          <w:sz w:val="20"/>
          <w:szCs w:val="20"/>
        </w:rPr>
        <w:t>5. Credit Enhancement Guarantee Scheme for Scheduled Castes (CEGSSC)</w:t>
      </w:r>
    </w:p>
    <w:p w:rsidR="00D46755" w:rsidRPr="00556D17" w:rsidRDefault="00D46755" w:rsidP="00D46755">
      <w:pPr>
        <w:pStyle w:val="NormalWeb"/>
        <w:rPr>
          <w:rFonts w:ascii="Arial" w:hAnsi="Arial" w:cs="Arial"/>
          <w:bCs/>
          <w:color w:val="000000"/>
          <w:sz w:val="20"/>
          <w:szCs w:val="20"/>
        </w:rPr>
      </w:pPr>
      <w:r w:rsidRPr="00556D17">
        <w:rPr>
          <w:rFonts w:ascii="Arial" w:hAnsi="Arial" w:cs="Arial"/>
          <w:bCs/>
          <w:color w:val="000000"/>
          <w:sz w:val="20"/>
          <w:szCs w:val="20"/>
        </w:rPr>
        <w:t>6. Monitoring and Review</w:t>
      </w:r>
    </w:p>
    <w:p w:rsidR="00D46755" w:rsidRPr="00556D17" w:rsidRDefault="00D46755" w:rsidP="00D46755">
      <w:pPr>
        <w:pStyle w:val="NormalWeb"/>
        <w:rPr>
          <w:rFonts w:ascii="Arial" w:hAnsi="Arial" w:cs="Arial"/>
          <w:color w:val="000000"/>
          <w:sz w:val="20"/>
          <w:szCs w:val="20"/>
        </w:rPr>
      </w:pPr>
      <w:r w:rsidRPr="00556D17">
        <w:rPr>
          <w:rFonts w:ascii="Arial" w:hAnsi="Arial" w:cs="Arial"/>
          <w:bCs/>
          <w:color w:val="000000"/>
          <w:sz w:val="20"/>
          <w:szCs w:val="20"/>
        </w:rPr>
        <w:t>7. Reporting Requirements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Yours faithfully,</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D46755" w:rsidRDefault="00D46755" w:rsidP="00D46755">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p>
    <w:p w:rsidR="00D46755" w:rsidRDefault="00D46755" w:rsidP="00D46755">
      <w:r>
        <w:t>More details can be referred to in the below link.</w:t>
      </w:r>
    </w:p>
    <w:p w:rsidR="00D46755" w:rsidRDefault="00D46755" w:rsidP="00D46755">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1" w:history="1">
        <w:r w:rsidRPr="006865D6">
          <w:rPr>
            <w:rStyle w:val="Hyperlink"/>
            <w:rFonts w:ascii="Arial" w:hAnsi="Arial" w:cs="Arial"/>
            <w:bCs/>
            <w:sz w:val="20"/>
            <w:szCs w:val="20"/>
          </w:rPr>
          <w:t>https://www.rbi.org.in/scripts/NotificationUser.aspx?Id=12365&amp;Mode=0</w:t>
        </w:r>
      </w:hyperlink>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Pr="00583041" w:rsidRDefault="002D338D" w:rsidP="002D338D">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2D338D" w:rsidRPr="00583041" w:rsidTr="002D338D">
        <w:trPr>
          <w:jc w:val="center"/>
        </w:trPr>
        <w:tc>
          <w:tcPr>
            <w:tcW w:w="0" w:type="auto"/>
            <w:tcBorders>
              <w:top w:val="nil"/>
              <w:left w:val="nil"/>
              <w:bottom w:val="nil"/>
              <w:right w:val="nil"/>
            </w:tcBorders>
            <w:tcMar>
              <w:top w:w="15" w:type="dxa"/>
              <w:left w:w="45" w:type="dxa"/>
              <w:bottom w:w="15" w:type="dxa"/>
              <w:right w:w="45" w:type="dxa"/>
            </w:tcMar>
            <w:vAlign w:val="center"/>
            <w:hideMark/>
          </w:tcPr>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2D338D" w:rsidRPr="00583041" w:rsidRDefault="002D338D" w:rsidP="002D338D">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2D338D" w:rsidRPr="00583041" w:rsidRDefault="002D338D" w:rsidP="002D338D">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2D338D" w:rsidRPr="00583041" w:rsidRDefault="002D338D" w:rsidP="002D338D">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2D338D" w:rsidRPr="00CE14AF" w:rsidRDefault="002D338D" w:rsidP="002D338D">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2D338D" w:rsidRPr="00583041" w:rsidRDefault="002D338D" w:rsidP="002D338D">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22"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23"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i) increase the automatic route limit from USD 750 million or equivalent to USD 1.5 billion or equivalent.</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24"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2D338D" w:rsidRPr="00583041" w:rsidRDefault="002D338D" w:rsidP="002D338D">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2D338D" w:rsidRPr="00583041" w:rsidRDefault="002D338D" w:rsidP="002D338D">
            <w:pPr>
              <w:pStyle w:val="NormalWeb"/>
              <w:spacing w:after="0" w:afterAutospacing="0"/>
              <w:rPr>
                <w:rFonts w:ascii="Arial" w:hAnsi="Arial" w:cs="Arial"/>
                <w:sz w:val="20"/>
                <w:szCs w:val="20"/>
              </w:rPr>
            </w:pPr>
            <w:r w:rsidRPr="00583041">
              <w:rPr>
                <w:rFonts w:ascii="Arial" w:hAnsi="Arial" w:cs="Arial"/>
                <w:sz w:val="20"/>
                <w:szCs w:val="20"/>
              </w:rPr>
              <w:t>Yours faithfully,</w:t>
            </w:r>
          </w:p>
          <w:p w:rsidR="002D338D" w:rsidRPr="00583041" w:rsidRDefault="002D338D" w:rsidP="002D338D">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2D338D" w:rsidRDefault="002D338D" w:rsidP="002D338D"/>
    <w:p w:rsidR="002D338D" w:rsidRDefault="002D338D" w:rsidP="002D338D">
      <w:pPr>
        <w:spacing w:after="0"/>
      </w:pPr>
      <w:r>
        <w:t>More details can be referred to in the below link.</w:t>
      </w:r>
    </w:p>
    <w:p w:rsidR="002D338D" w:rsidRDefault="002D338D" w:rsidP="002D338D">
      <w:pPr>
        <w:rPr>
          <w:rFonts w:ascii="Arial" w:hAnsi="Arial" w:cs="Arial"/>
          <w:sz w:val="20"/>
          <w:szCs w:val="20"/>
        </w:rPr>
      </w:pPr>
      <w:r>
        <w:rPr>
          <w:rFonts w:ascii="Arial" w:hAnsi="Arial" w:cs="Arial"/>
          <w:sz w:val="20"/>
          <w:szCs w:val="20"/>
        </w:rPr>
        <w:t xml:space="preserve">Reference Link: </w:t>
      </w:r>
      <w:hyperlink r:id="rId25" w:history="1">
        <w:r w:rsidRPr="00200311">
          <w:rPr>
            <w:rStyle w:val="Hyperlink"/>
            <w:rFonts w:ascii="Arial" w:hAnsi="Arial" w:cs="Arial"/>
            <w:sz w:val="20"/>
            <w:szCs w:val="20"/>
          </w:rPr>
          <w:t>https://www.rbi.org.in/Scripts/NotificationUser.aspx?Id=12366&amp;Mode=0</w:t>
        </w:r>
      </w:hyperlink>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p>
    <w:p w:rsidR="00D46755" w:rsidRDefault="00D46755" w:rsidP="00D46755">
      <w:pPr>
        <w:pStyle w:val="NormalWeb"/>
        <w:rPr>
          <w:rFonts w:ascii="Arial" w:hAnsi="Arial" w:cs="Arial"/>
          <w:color w:val="000000"/>
          <w:sz w:val="20"/>
          <w:szCs w:val="20"/>
        </w:rPr>
      </w:pPr>
      <w:r>
        <w:rPr>
          <w:rFonts w:ascii="Arial" w:hAnsi="Arial" w:cs="Arial"/>
          <w:b/>
          <w:bCs/>
          <w:color w:val="000000"/>
          <w:sz w:val="20"/>
          <w:szCs w:val="20"/>
        </w:rPr>
        <w:t>Master Circular on Credit Facilities to Minority Communities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D46755" w:rsidRDefault="00D46755" w:rsidP="00D46755">
      <w:pPr>
        <w:pStyle w:val="NormalWeb"/>
        <w:jc w:val="right"/>
        <w:rPr>
          <w:rFonts w:ascii="Arial" w:hAnsi="Arial" w:cs="Arial"/>
          <w:color w:val="000000"/>
          <w:sz w:val="20"/>
          <w:szCs w:val="20"/>
        </w:rPr>
      </w:pPr>
      <w:r>
        <w:rPr>
          <w:rFonts w:ascii="Arial" w:hAnsi="Arial" w:cs="Arial"/>
          <w:color w:val="000000"/>
          <w:sz w:val="20"/>
          <w:szCs w:val="20"/>
        </w:rPr>
        <w:t>August 2, 2022</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Madam/ Dear Sir,</w:t>
      </w:r>
    </w:p>
    <w:p w:rsidR="00D46755" w:rsidRDefault="00D46755" w:rsidP="00D46755">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D46755" w:rsidRPr="00184108" w:rsidRDefault="00D46755" w:rsidP="00D46755">
      <w:pPr>
        <w:pStyle w:val="NoSpacing"/>
      </w:pPr>
      <w:r>
        <w:t>The Reserve Bank of India has periodically issued guidelines/instructions/directives to banks with regard to providing credit facilities to Minority Communities. The </w:t>
      </w:r>
      <w:hyperlink r:id="rId26" w:anchor="MC" w:history="1">
        <w:r>
          <w:rPr>
            <w:rStyle w:val="Hyperlink"/>
            <w:rFonts w:ascii="Arial" w:hAnsi="Arial" w:cs="Arial"/>
            <w:sz w:val="20"/>
            <w:szCs w:val="20"/>
          </w:rPr>
          <w:t>Master Circular</w:t>
        </w:r>
      </w:hyperlink>
      <w:r>
        <w:t> consolidates the circulars issued by Reserve Bank on the subject till date, on the below points:</w:t>
      </w:r>
    </w:p>
    <w:p w:rsidR="00D46755" w:rsidRDefault="00D46755" w:rsidP="00D46755">
      <w:pPr>
        <w:pStyle w:val="NoSpacing"/>
        <w:rPr>
          <w:bCs/>
        </w:rPr>
      </w:pPr>
    </w:p>
    <w:p w:rsidR="00D46755" w:rsidRPr="00184108" w:rsidRDefault="00D46755" w:rsidP="00D46755">
      <w:pPr>
        <w:pStyle w:val="NoSpacing"/>
      </w:pPr>
      <w:r w:rsidRPr="00184108">
        <w:rPr>
          <w:bCs/>
        </w:rPr>
        <w:t>1. Credit Facilities to Minority Communities</w:t>
      </w:r>
    </w:p>
    <w:p w:rsidR="00D46755" w:rsidRPr="00184108" w:rsidRDefault="00D46755" w:rsidP="00D46755">
      <w:pPr>
        <w:pStyle w:val="NoSpacing"/>
      </w:pPr>
      <w:r w:rsidRPr="00184108">
        <w:rPr>
          <w:bCs/>
        </w:rPr>
        <w:t>2. Definition of Minority Communities</w:t>
      </w:r>
    </w:p>
    <w:p w:rsidR="00D46755" w:rsidRPr="00184108" w:rsidRDefault="00D46755" w:rsidP="00D46755">
      <w:pPr>
        <w:pStyle w:val="NoSpacing"/>
      </w:pPr>
      <w:r w:rsidRPr="00184108">
        <w:rPr>
          <w:bCs/>
        </w:rPr>
        <w:t>3. Creation of Special Cell and designating an exclusive Officer</w:t>
      </w:r>
    </w:p>
    <w:p w:rsidR="00D46755" w:rsidRPr="00184108" w:rsidRDefault="00D46755" w:rsidP="00D46755">
      <w:pPr>
        <w:pStyle w:val="NoSpacing"/>
        <w:rPr>
          <w:bCs/>
        </w:rPr>
      </w:pPr>
      <w:r w:rsidRPr="00184108">
        <w:rPr>
          <w:bCs/>
        </w:rPr>
        <w:t>4. Role of Lead Banks</w:t>
      </w:r>
    </w:p>
    <w:p w:rsidR="00D46755" w:rsidRPr="00184108" w:rsidRDefault="00D46755" w:rsidP="00D46755">
      <w:pPr>
        <w:pStyle w:val="NoSpacing"/>
      </w:pPr>
      <w:r w:rsidRPr="00184108">
        <w:rPr>
          <w:bCs/>
        </w:rPr>
        <w:t>5. Advances under DRI Scheme</w:t>
      </w:r>
    </w:p>
    <w:p w:rsidR="00D46755" w:rsidRPr="00184108" w:rsidRDefault="00D46755" w:rsidP="00D46755">
      <w:pPr>
        <w:pStyle w:val="NoSpacing"/>
      </w:pPr>
      <w:r w:rsidRPr="00184108">
        <w:rPr>
          <w:bCs/>
        </w:rPr>
        <w:t>6. Monitoring</w:t>
      </w:r>
    </w:p>
    <w:p w:rsidR="00D46755" w:rsidRPr="00184108" w:rsidRDefault="00D46755" w:rsidP="00D46755">
      <w:pPr>
        <w:pStyle w:val="NoSpacing"/>
      </w:pPr>
      <w:r w:rsidRPr="00184108">
        <w:rPr>
          <w:bCs/>
        </w:rPr>
        <w:t>7. Training</w:t>
      </w:r>
    </w:p>
    <w:p w:rsidR="00D46755" w:rsidRPr="00184108" w:rsidRDefault="00D46755" w:rsidP="00D46755">
      <w:pPr>
        <w:pStyle w:val="NoSpacing"/>
        <w:rPr>
          <w:bCs/>
        </w:rPr>
      </w:pPr>
      <w:r w:rsidRPr="00184108">
        <w:rPr>
          <w:bCs/>
        </w:rPr>
        <w:t>8 Publicity</w:t>
      </w:r>
    </w:p>
    <w:p w:rsidR="00D46755" w:rsidRPr="00184108" w:rsidRDefault="00D46755" w:rsidP="00D46755">
      <w:pPr>
        <w:pStyle w:val="NoSpacing"/>
      </w:pPr>
      <w:r w:rsidRPr="00184108">
        <w:rPr>
          <w:bCs/>
        </w:rPr>
        <w:t>9. National Minorities Development and Finance Corporation (NMDFC)</w:t>
      </w:r>
    </w:p>
    <w:p w:rsidR="00D46755" w:rsidRPr="00184108" w:rsidRDefault="00D46755" w:rsidP="00D46755">
      <w:pPr>
        <w:pStyle w:val="NoSpacing"/>
      </w:pPr>
      <w:r w:rsidRPr="00184108">
        <w:rPr>
          <w:bCs/>
        </w:rPr>
        <w:t>10. Prime Minister’s New 15 Point Programme for the Welfare of Minorities</w:t>
      </w:r>
    </w:p>
    <w:p w:rsidR="00D46755" w:rsidRDefault="00D46755" w:rsidP="00D46755">
      <w:pPr>
        <w:pStyle w:val="NormalWeb"/>
        <w:rPr>
          <w:rFonts w:ascii="Arial" w:hAnsi="Arial" w:cs="Arial"/>
          <w:color w:val="000000"/>
          <w:sz w:val="20"/>
          <w:szCs w:val="20"/>
        </w:rPr>
      </w:pP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Yours faithfully,</w:t>
      </w:r>
    </w:p>
    <w:p w:rsidR="00D46755" w:rsidRDefault="00D46755" w:rsidP="00D4675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D46755" w:rsidRDefault="00D46755" w:rsidP="00D46755">
      <w:pPr>
        <w:spacing w:line="259" w:lineRule="auto"/>
        <w:rPr>
          <w:rFonts w:ascii="Arial" w:hAnsi="Arial" w:cs="Arial"/>
          <w:sz w:val="20"/>
          <w:szCs w:val="20"/>
        </w:rPr>
      </w:pPr>
    </w:p>
    <w:p w:rsidR="00D46755" w:rsidRDefault="00D46755" w:rsidP="00D46755">
      <w:pPr>
        <w:spacing w:line="259" w:lineRule="auto"/>
        <w:rPr>
          <w:rFonts w:ascii="Arial" w:hAnsi="Arial" w:cs="Arial"/>
          <w:sz w:val="20"/>
          <w:szCs w:val="20"/>
        </w:rPr>
      </w:pPr>
    </w:p>
    <w:p w:rsidR="00D46755" w:rsidRDefault="00D46755" w:rsidP="00D46755">
      <w:r>
        <w:t>More details can be referred to in the below link.</w:t>
      </w:r>
    </w:p>
    <w:p w:rsidR="00D46755" w:rsidRDefault="00D46755" w:rsidP="00D46755">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7" w:history="1">
        <w:r w:rsidRPr="006865D6">
          <w:rPr>
            <w:rStyle w:val="Hyperlink"/>
            <w:rFonts w:ascii="Arial" w:hAnsi="Arial" w:cs="Arial"/>
            <w:bCs/>
            <w:sz w:val="20"/>
            <w:szCs w:val="20"/>
          </w:rPr>
          <w:t>https://m.rbi.org.in/scripts/BS_ViewMasCirculardetails.aspx?id=12367</w:t>
        </w:r>
      </w:hyperlink>
    </w:p>
    <w:p w:rsidR="00D46755" w:rsidRDefault="00D46755" w:rsidP="00D46755">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2D338D" w:rsidRDefault="002D338D">
      <w:pPr>
        <w:spacing w:line="259" w:lineRule="auto"/>
        <w:rPr>
          <w:rFonts w:ascii="Arial" w:hAnsi="Arial" w:cs="Arial"/>
          <w:sz w:val="20"/>
          <w:szCs w:val="20"/>
        </w:rPr>
      </w:pPr>
    </w:p>
    <w:p w:rsidR="00D46755" w:rsidRDefault="00D46755">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Gold Monetization Scheme (GMS), 2015</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RBI/2022-23/100</w:t>
      </w:r>
      <w:r>
        <w:rPr>
          <w:rFonts w:ascii="Arial" w:hAnsi="Arial" w:cs="Arial"/>
          <w:color w:val="000000"/>
          <w:sz w:val="20"/>
          <w:szCs w:val="20"/>
        </w:rPr>
        <w:br/>
        <w:t>DoR.AUT.REC.58/23.67.001/2022-23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August 04, 2022</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Regional Rural Banks)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Dear Sir/Madam</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Gold Monetization Scheme (GMS), 2015</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In exercise of the powers conferred on the Reserve Bank of India under Section 35A of the Banking Regulation Act, 1949, the RBI makes the following amendments in the Reserve Bank of India (Gold Monetization Scheme, 2015) </w:t>
      </w:r>
      <w:hyperlink r:id="rId28" w:tgtFrame="_blank" w:history="1">
        <w:r>
          <w:rPr>
            <w:rStyle w:val="Hyperlink"/>
            <w:rFonts w:ascii="Arial" w:hAnsi="Arial" w:cs="Arial"/>
            <w:sz w:val="20"/>
            <w:szCs w:val="20"/>
          </w:rPr>
          <w:t>Master Direction No.DBR.IBD.No.45/23.67.003/2015-16 dated October 22, 2015</w:t>
        </w:r>
      </w:hyperlink>
      <w:r>
        <w:rPr>
          <w:rFonts w:ascii="Arial" w:hAnsi="Arial" w:cs="Arial"/>
          <w:color w:val="000000"/>
          <w:sz w:val="20"/>
          <w:szCs w:val="20"/>
        </w:rPr>
        <w:t>, with immediate effect.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2. The existing sub-para 2.2.</w:t>
      </w:r>
      <w:proofErr w:type="gramStart"/>
      <w:r>
        <w:rPr>
          <w:rFonts w:ascii="Arial" w:hAnsi="Arial" w:cs="Arial"/>
          <w:color w:val="000000"/>
          <w:sz w:val="20"/>
          <w:szCs w:val="20"/>
        </w:rPr>
        <w:t>2.(</w:t>
      </w:r>
      <w:proofErr w:type="gramEnd"/>
      <w:r>
        <w:rPr>
          <w:rFonts w:ascii="Arial" w:hAnsi="Arial" w:cs="Arial"/>
          <w:color w:val="000000"/>
          <w:sz w:val="20"/>
          <w:szCs w:val="20"/>
        </w:rPr>
        <w:t>v) stands deleted (and hence the existing sub-paras 2.2.2.(vi) to 2.2.2.(viii) have accordingly been renumbered). The corresponding provisions have been suitably incorporated in sub-para 2.4.i.(a) and 2.4.i.(b).</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3. The sub-para 2.2.</w:t>
      </w:r>
      <w:proofErr w:type="gramStart"/>
      <w:r>
        <w:rPr>
          <w:rFonts w:ascii="Arial" w:hAnsi="Arial" w:cs="Arial"/>
          <w:color w:val="000000"/>
          <w:sz w:val="20"/>
          <w:szCs w:val="20"/>
        </w:rPr>
        <w:t>2.(</w:t>
      </w:r>
      <w:proofErr w:type="gramEnd"/>
      <w:r>
        <w:rPr>
          <w:rFonts w:ascii="Arial" w:hAnsi="Arial" w:cs="Arial"/>
          <w:color w:val="000000"/>
          <w:sz w:val="20"/>
          <w:szCs w:val="20"/>
        </w:rPr>
        <w:t>vii) has been amended to read as follows: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“Central Government has decided that with effect from November 5, 2016, designated banks will be paid handling charges (including gold purity testing, refining, transportation, storage and any other relevant costs) for a new MLTGD at a flat rate of 1.5% and commission at the rate of 1% of the rupee equivalent of the amount of gold mobilized under the scheme until further notice. In case of renewal of deposits, as banks will not incur any expenses on purity testing, refining, transportation, storage and insurance etc., the banks will only be given a fixed commission of 1% of the rupee equivalent of the amount of gold on the date of renewal towards their administrative and account maintenance cost.”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4. A new sub-para 2.4 has been inserted (and hence the existing sub-paras 2.4 to 2.10 have accordingly been renumbered) which reads as follows -</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Guidelines for Renewal/Redemption of MLTGD</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 General</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 Redemption in Gold</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iii. Redemption in INR – Modalities</w:t>
      </w:r>
    </w:p>
    <w:p w:rsidR="002D338D" w:rsidRPr="00A410BB" w:rsidRDefault="002D338D" w:rsidP="002D338D">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iv. Renewal of Deposit – Modalities</w:t>
      </w:r>
    </w:p>
    <w:p w:rsidR="002D338D" w:rsidRPr="00A410BB" w:rsidRDefault="002D338D" w:rsidP="002D338D">
      <w:pPr>
        <w:pStyle w:val="head"/>
        <w:spacing w:before="0" w:beforeAutospacing="0"/>
        <w:rPr>
          <w:rFonts w:ascii="Arial" w:hAnsi="Arial" w:cs="Arial"/>
          <w:bCs/>
          <w:color w:val="000000"/>
          <w:sz w:val="20"/>
          <w:szCs w:val="20"/>
        </w:rPr>
      </w:pPr>
      <w:r w:rsidRPr="00A410BB">
        <w:rPr>
          <w:rFonts w:ascii="Arial" w:hAnsi="Arial" w:cs="Arial"/>
          <w:bCs/>
          <w:color w:val="000000"/>
          <w:sz w:val="20"/>
          <w:szCs w:val="20"/>
        </w:rPr>
        <w:t>v. Partial Renewal and Partial Redemption in gold/INR – Modalities</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Pr>
        <w:pStyle w:val="NormalWeb"/>
        <w:rPr>
          <w:rFonts w:ascii="Arial" w:hAnsi="Arial" w:cs="Arial"/>
          <w:color w:val="000000"/>
          <w:sz w:val="20"/>
          <w:szCs w:val="20"/>
        </w:rPr>
      </w:pPr>
    </w:p>
    <w:p w:rsidR="002D338D" w:rsidRDefault="002D338D" w:rsidP="002D338D">
      <w:r>
        <w:t>More details can be referred to in the below link.</w:t>
      </w:r>
    </w:p>
    <w:p w:rsidR="002D338D" w:rsidRDefault="002D338D" w:rsidP="002D338D">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29" w:history="1">
        <w:r w:rsidRPr="006865D6">
          <w:rPr>
            <w:rStyle w:val="Hyperlink"/>
            <w:rFonts w:ascii="Arial" w:hAnsi="Arial" w:cs="Arial"/>
            <w:bCs/>
            <w:sz w:val="20"/>
            <w:szCs w:val="20"/>
          </w:rPr>
          <w:t>https://www.rbi.org.in/scripts/NotificationUser.aspx?Id=12368&amp;Mode=0</w:t>
        </w:r>
      </w:hyperlink>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RBI/2022-23/108</w:t>
      </w:r>
      <w:r>
        <w:rPr>
          <w:rFonts w:ascii="Arial" w:hAnsi="Arial" w:cs="Arial"/>
          <w:color w:val="000000"/>
          <w:sz w:val="20"/>
          <w:szCs w:val="20"/>
        </w:rPr>
        <w:br/>
        <w:t>DOR.ORG.REC.65/21.04.158/2022-23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August 12,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Reserve Bank of India has from time to time advised regulated entities (REs) that the ultimate responsibility for their outsourced activities vests with them and they are, therefore, responsible for the actions of their service providers including Recovery Agents (hereafter referred to as ‘agents’).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2. It has been observed that the agents employed by REs have been deviating from the extant instructions governing the outsourcing of financial services. In view of concerns arising from the activities of these agents, it is advised that the REs shall strictly ensure that they or their agents do not resort to intimidation or harassment of any kind, either verbal or physical, against any person in their debt collection efforts, including acts intended to humiliate publicly or intrude upon the privacy of the debtors' family members, referees and friends, sending inappropriate messages either on mobile or through social media, making threatening and/ or anonymous calls, persistently</w:t>
      </w:r>
      <w:hyperlink r:id="rId30" w:anchor="F1" w:history="1">
        <w:r>
          <w:rPr>
            <w:rStyle w:val="Hyperlink"/>
            <w:rFonts w:ascii="Arial" w:hAnsi="Arial" w:cs="Arial"/>
            <w:sz w:val="15"/>
            <w:szCs w:val="15"/>
            <w:vertAlign w:val="superscript"/>
          </w:rPr>
          <w:t>1</w:t>
        </w:r>
      </w:hyperlink>
      <w:r>
        <w:rPr>
          <w:rFonts w:ascii="Arial" w:hAnsi="Arial" w:cs="Arial"/>
          <w:color w:val="000000"/>
          <w:sz w:val="20"/>
          <w:szCs w:val="20"/>
        </w:rPr>
        <w:t> calling the borrower and/ or calling the borrower before 8:00 a.m. and after 7:00 p.m. for recovery of overdue loans, making false and misleading representations, etc.</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3. The instructions contained in para 2 above shall supplement and be read in conjunction with the existing guidelines/directions issued by the Reserve Bank of India, as amended from time to time, including those tabulated in </w:t>
      </w:r>
      <w:hyperlink r:id="rId31" w:anchor="AN"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4. Any violation in this regard by REs will be viewed seriously.</w:t>
      </w:r>
    </w:p>
    <w:p w:rsidR="002D338D" w:rsidRDefault="002D338D" w:rsidP="002D338D">
      <w:pPr>
        <w:pStyle w:val="head"/>
        <w:rPr>
          <w:rFonts w:ascii="Arial" w:hAnsi="Arial" w:cs="Arial"/>
          <w:b/>
          <w:bCs/>
          <w:color w:val="000000"/>
          <w:sz w:val="20"/>
          <w:szCs w:val="20"/>
        </w:rPr>
      </w:pPr>
      <w:r>
        <w:rPr>
          <w:rFonts w:ascii="Arial" w:hAnsi="Arial" w:cs="Arial"/>
          <w:b/>
          <w:bCs/>
          <w:color w:val="000000"/>
          <w:sz w:val="20"/>
          <w:szCs w:val="20"/>
        </w:rPr>
        <w:t>Applicability</w:t>
      </w:r>
    </w:p>
    <w:p w:rsidR="002D338D" w:rsidRDefault="002D338D" w:rsidP="002D338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 This circular shall apply to the following REs:</w:t>
      </w:r>
    </w:p>
    <w:p w:rsidR="002D338D" w:rsidRDefault="002D338D" w:rsidP="002D338D">
      <w:pPr>
        <w:pStyle w:val="NormalWeb"/>
        <w:numPr>
          <w:ilvl w:val="0"/>
          <w:numId w:val="28"/>
        </w:numPr>
        <w:spacing w:before="0" w:beforeAutospacing="0"/>
        <w:ind w:left="0"/>
        <w:rPr>
          <w:rFonts w:ascii="Arial" w:hAnsi="Arial" w:cs="Arial"/>
          <w:color w:val="000000"/>
          <w:sz w:val="20"/>
          <w:szCs w:val="20"/>
        </w:rPr>
      </w:pPr>
      <w:r>
        <w:rPr>
          <w:rFonts w:ascii="Arial" w:hAnsi="Arial" w:cs="Arial"/>
          <w:color w:val="000000"/>
          <w:sz w:val="20"/>
          <w:szCs w:val="20"/>
        </w:rPr>
        <w:t>All Commercial Banks (including Local Area Banks, Regional Rural Banks, and Small Finance Banks) excluding Payments Banks;</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 xml:space="preserve">All All-India Financial Institutions (viz.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Primary (Urban) Co-operative Banks, State Co-operative Banks, and District Central Co-operative Banks; and</w:t>
      </w:r>
    </w:p>
    <w:p w:rsidR="002D338D" w:rsidRDefault="002D338D" w:rsidP="002D338D">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Asset Reconstruction Companies.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6. This circular shall not apply to microfinance loans covered under </w:t>
      </w:r>
      <w:hyperlink r:id="rId32" w:tgtFrame="_blank" w:history="1">
        <w:r>
          <w:rPr>
            <w:rStyle w:val="Hyperlink"/>
            <w:rFonts w:ascii="Arial" w:hAnsi="Arial" w:cs="Arial"/>
            <w:sz w:val="20"/>
            <w:szCs w:val="20"/>
          </w:rPr>
          <w:t>‘Master Direction – Reserve Bank of India (Regulatory Framework for Microfinance Loans) Directions, 2022’, dated March 14, 2022</w:t>
        </w:r>
      </w:hyperlink>
      <w:r>
        <w:rPr>
          <w:rFonts w:ascii="Arial" w:hAnsi="Arial" w:cs="Arial"/>
          <w:color w:val="000000"/>
          <w:sz w:val="20"/>
          <w:szCs w:val="20"/>
        </w:rPr>
        <w:t>.</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2D338D" w:rsidRDefault="002D338D" w:rsidP="002D338D">
      <w:pPr>
        <w:spacing w:before="240" w:after="0"/>
      </w:pPr>
    </w:p>
    <w:p w:rsidR="002D338D" w:rsidRDefault="002D338D" w:rsidP="002D338D">
      <w:pPr>
        <w:spacing w:after="0"/>
      </w:pPr>
      <w:r>
        <w:t>More details can be referred to in the below link.</w:t>
      </w:r>
    </w:p>
    <w:p w:rsidR="002D338D" w:rsidRDefault="002D338D" w:rsidP="002D338D">
      <w:pPr>
        <w:pStyle w:val="NormalWeb"/>
        <w:spacing w:before="0" w:beforeAutospacing="0"/>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33" w:anchor=":~:text=The%20Reserve%20Bank%20of%20India,to%20as%20'agents" w:history="1">
        <w:r w:rsidRPr="006865D6">
          <w:rPr>
            <w:rStyle w:val="Hyperlink"/>
            <w:rFonts w:ascii="Arial" w:hAnsi="Arial" w:cs="Arial"/>
            <w:bCs/>
            <w:sz w:val="20"/>
            <w:szCs w:val="20"/>
          </w:rPr>
          <w:t>https://rbi.org.in/scripts/FS_Notification.aspx?Id=12378&amp;fn=2&amp;Mode=0#:~:text=The%20Reserve%20Bank%20of%20India,to%20as%20'agents</w:t>
        </w:r>
      </w:hyperlink>
      <w:r w:rsidRPr="00DE6119">
        <w:rPr>
          <w:rFonts w:ascii="Arial" w:hAnsi="Arial" w:cs="Arial"/>
          <w:bCs/>
          <w:color w:val="000000"/>
          <w:sz w:val="20"/>
          <w:szCs w:val="20"/>
        </w:rPr>
        <w:t>').</w:t>
      </w:r>
    </w:p>
    <w:p w:rsidR="002D338D" w:rsidRDefault="002D338D" w:rsidP="002D338D">
      <w:pP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2D338D" w:rsidRDefault="002D338D" w:rsidP="002D338D">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2D338D" w:rsidRDefault="002D338D" w:rsidP="002D338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34"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35"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36"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2D338D" w:rsidRPr="005D5DB2" w:rsidRDefault="002D338D" w:rsidP="002D338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2D338D" w:rsidRDefault="002D338D" w:rsidP="002D338D">
      <w:pPr>
        <w:pStyle w:val="NormalWeb"/>
        <w:rPr>
          <w:rFonts w:ascii="Arial" w:hAnsi="Arial" w:cs="Arial"/>
          <w:color w:val="000000"/>
          <w:sz w:val="20"/>
          <w:szCs w:val="20"/>
        </w:rPr>
      </w:pP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rPr>
          <w:rFonts w:ascii="Arial" w:hAnsi="Arial" w:cs="Arial"/>
          <w:sz w:val="20"/>
          <w:szCs w:val="20"/>
        </w:rPr>
      </w:pPr>
      <w:r>
        <w:rPr>
          <w:rFonts w:ascii="Arial" w:hAnsi="Arial" w:cs="Arial"/>
          <w:sz w:val="20"/>
          <w:szCs w:val="20"/>
        </w:rPr>
        <w:t xml:space="preserve">Reference Link: </w:t>
      </w:r>
      <w:hyperlink r:id="rId37" w:history="1">
        <w:r w:rsidRPr="00200311">
          <w:rPr>
            <w:rStyle w:val="Hyperlink"/>
            <w:rFonts w:ascii="Arial" w:hAnsi="Arial" w:cs="Arial"/>
            <w:sz w:val="20"/>
            <w:szCs w:val="20"/>
          </w:rPr>
          <w:t>https://www.rbi.org.in/scripts/NotificationUser.aspx?Id=12380&amp;Mode=0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Pr="00435B25" w:rsidRDefault="002D338D" w:rsidP="002D338D">
      <w:pP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2D338D" w:rsidRPr="00435B25" w:rsidRDefault="002D338D" w:rsidP="002D338D">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2D338D" w:rsidRPr="00435B25" w:rsidRDefault="002D338D" w:rsidP="002D338D">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2D338D" w:rsidRPr="00435B25" w:rsidRDefault="002D338D" w:rsidP="002D338D">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8"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9"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40"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41"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 enhanced clarity with respect to various definitions;</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2D338D" w:rsidRPr="00435B25" w:rsidRDefault="002D338D" w:rsidP="002D338D">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2D338D" w:rsidRPr="00435B25" w:rsidRDefault="002D338D" w:rsidP="002D338D">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2D338D" w:rsidRPr="00435B25" w:rsidRDefault="002D338D" w:rsidP="002D338D">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2D338D" w:rsidRPr="00435B25" w:rsidRDefault="002D338D" w:rsidP="002D338D">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2D338D" w:rsidRPr="00435B25" w:rsidRDefault="002D338D" w:rsidP="002D338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2D338D" w:rsidRDefault="002D338D" w:rsidP="002D338D">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2D338D" w:rsidRPr="00435B25" w:rsidRDefault="002D338D" w:rsidP="002D338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2D338D" w:rsidRDefault="002D338D" w:rsidP="002D338D">
      <w:pPr>
        <w:rPr>
          <w:rFonts w:ascii="Arial" w:hAnsi="Arial" w:cs="Arial"/>
          <w:sz w:val="20"/>
          <w:szCs w:val="20"/>
        </w:rPr>
      </w:pPr>
    </w:p>
    <w:p w:rsidR="002D338D" w:rsidRPr="00435B25" w:rsidRDefault="002D338D" w:rsidP="002D338D">
      <w:pPr>
        <w:spacing w:after="0"/>
        <w:rPr>
          <w:rFonts w:ascii="Arial" w:hAnsi="Arial" w:cs="Arial"/>
          <w:sz w:val="20"/>
          <w:szCs w:val="20"/>
        </w:rPr>
      </w:pPr>
      <w:r w:rsidRPr="00435B25">
        <w:rPr>
          <w:rFonts w:ascii="Arial" w:hAnsi="Arial" w:cs="Arial"/>
          <w:sz w:val="20"/>
          <w:szCs w:val="20"/>
        </w:rPr>
        <w:t>More details can be referred to in the below link.</w:t>
      </w:r>
    </w:p>
    <w:p w:rsidR="002D338D" w:rsidRPr="00435B25" w:rsidRDefault="002D338D" w:rsidP="002D338D">
      <w:pPr>
        <w:rPr>
          <w:rFonts w:ascii="Arial" w:hAnsi="Arial" w:cs="Arial"/>
          <w:sz w:val="20"/>
          <w:szCs w:val="20"/>
        </w:rPr>
      </w:pPr>
      <w:r w:rsidRPr="00435B25">
        <w:rPr>
          <w:rFonts w:ascii="Arial" w:hAnsi="Arial" w:cs="Arial"/>
          <w:sz w:val="20"/>
          <w:szCs w:val="20"/>
        </w:rPr>
        <w:t xml:space="preserve">Reference Link: </w:t>
      </w:r>
      <w:hyperlink r:id="rId42" w:history="1">
        <w:r w:rsidRPr="00435B25">
          <w:rPr>
            <w:rStyle w:val="Hyperlink"/>
            <w:rFonts w:ascii="Arial" w:hAnsi="Arial" w:cs="Arial"/>
            <w:sz w:val="20"/>
            <w:szCs w:val="20"/>
          </w:rPr>
          <w:t>https://www.rbi.org.in/scripts/NotificationUser.aspx?Id=12381&amp;Mode=0</w:t>
        </w:r>
      </w:hyperlink>
    </w:p>
    <w:p w:rsidR="002D338D" w:rsidRDefault="002D338D" w:rsidP="002D338D">
      <w:pPr>
        <w:spacing w:line="259" w:lineRule="auto"/>
        <w:rPr>
          <w:rFonts w:ascii="Arial" w:hAnsi="Arial" w:cs="Arial"/>
          <w:sz w:val="20"/>
          <w:szCs w:val="20"/>
        </w:rPr>
      </w:pPr>
    </w:p>
    <w:p w:rsidR="002D338D" w:rsidRDefault="002D338D" w:rsidP="002D338D">
      <w:pPr>
        <w:pStyle w:val="NormalWeb"/>
        <w:rPr>
          <w:rFonts w:ascii="Arial" w:hAnsi="Arial" w:cs="Arial"/>
          <w:b/>
          <w:bCs/>
          <w:color w:val="000000"/>
          <w:sz w:val="20"/>
          <w:szCs w:val="20"/>
        </w:rPr>
      </w:pPr>
      <w:r>
        <w:rPr>
          <w:rFonts w:ascii="Arial" w:hAnsi="Arial" w:cs="Arial"/>
          <w:b/>
          <w:bCs/>
          <w:color w:val="000000"/>
          <w:sz w:val="20"/>
          <w:szCs w:val="20"/>
        </w:rPr>
        <w:t>Guidelines on Digital Lending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02,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43"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44"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45"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2D338D" w:rsidRDefault="002D338D" w:rsidP="002D338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Pr>
        <w:spacing w:before="240" w:after="240"/>
        <w:rPr>
          <w:rFonts w:ascii="Times New Roman" w:hAnsi="Times New Roman" w:cs="Times New Roman"/>
          <w:sz w:val="24"/>
          <w:szCs w:val="24"/>
        </w:rPr>
      </w:pPr>
    </w:p>
    <w:p w:rsidR="002D338D" w:rsidRDefault="002D338D" w:rsidP="002D338D">
      <w:pPr>
        <w:spacing w:before="240" w:after="240"/>
        <w:rPr>
          <w:rFonts w:ascii="Times New Roman" w:hAnsi="Times New Roman" w:cs="Times New Roman"/>
          <w:sz w:val="24"/>
          <w:szCs w:val="24"/>
        </w:rPr>
      </w:pPr>
    </w:p>
    <w:p w:rsidR="002D338D" w:rsidRDefault="002D338D" w:rsidP="002D338D">
      <w:r>
        <w:t>More details can be referred to in the below link.</w:t>
      </w:r>
    </w:p>
    <w:p w:rsidR="002D338D" w:rsidRDefault="002D338D" w:rsidP="002D338D">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46" w:history="1">
        <w:r w:rsidRPr="006865D6">
          <w:rPr>
            <w:rStyle w:val="Hyperlink"/>
            <w:rFonts w:ascii="Arial" w:hAnsi="Arial" w:cs="Arial"/>
            <w:bCs/>
            <w:sz w:val="20"/>
            <w:szCs w:val="20"/>
          </w:rPr>
          <w:t>https://rbi.org.in/Scripts/BS_CircularIndexDisplay.aspx?Id=12382</w:t>
        </w:r>
      </w:hyperlink>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spacing w:line="259" w:lineRule="auto"/>
        <w:rPr>
          <w:rStyle w:val="Hyperlink"/>
          <w:rFonts w:ascii="Arial" w:hAnsi="Arial" w:cs="Arial"/>
          <w:bCs/>
          <w:sz w:val="20"/>
          <w:szCs w:val="20"/>
        </w:rPr>
      </w:pPr>
    </w:p>
    <w:p w:rsidR="002D338D" w:rsidRDefault="002D338D" w:rsidP="002D338D">
      <w:pPr>
        <w:pStyle w:val="NormalWeb"/>
        <w:rPr>
          <w:rFonts w:ascii="Arial" w:hAnsi="Arial" w:cs="Arial"/>
          <w:b/>
          <w:bCs/>
          <w:color w:val="000000"/>
          <w:sz w:val="20"/>
          <w:szCs w:val="20"/>
        </w:rPr>
      </w:pPr>
      <w:r>
        <w:rPr>
          <w:rFonts w:ascii="Arial" w:hAnsi="Arial" w:cs="Arial"/>
          <w:b/>
          <w:bCs/>
          <w:color w:val="000000"/>
          <w:sz w:val="20"/>
          <w:szCs w:val="20"/>
        </w:rPr>
        <w:t>Incentive for improving service to non-chest branches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RBI/2022-23/112</w:t>
      </w:r>
      <w:r>
        <w:rPr>
          <w:rFonts w:ascii="Arial" w:hAnsi="Arial" w:cs="Arial"/>
          <w:color w:val="000000"/>
          <w:sz w:val="20"/>
          <w:szCs w:val="20"/>
        </w:rPr>
        <w:br/>
        <w:t>DCM (NPD) No.S770/09.40.002/2022-23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06,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Chairman &amp; Managing Director</w:t>
      </w:r>
      <w:r>
        <w:rPr>
          <w:rFonts w:ascii="Arial" w:hAnsi="Arial" w:cs="Arial"/>
          <w:color w:val="000000"/>
          <w:sz w:val="20"/>
          <w:szCs w:val="20"/>
        </w:rPr>
        <w:br/>
        <w:t>Managing Director/ Chief Executive Officer</w:t>
      </w:r>
      <w:r>
        <w:rPr>
          <w:rFonts w:ascii="Arial" w:hAnsi="Arial" w:cs="Arial"/>
          <w:color w:val="000000"/>
          <w:sz w:val="20"/>
          <w:szCs w:val="20"/>
        </w:rPr>
        <w:br/>
        <w:t>All Banks having Currency Chests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u w:val="single"/>
        </w:rPr>
        <w:t>Incentive for improving service to non-chest branches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w:t>
      </w:r>
      <w:hyperlink r:id="rId47" w:tgtFrame="_blank" w:history="1">
        <w:r>
          <w:rPr>
            <w:rStyle w:val="Hyperlink"/>
            <w:rFonts w:ascii="Arial" w:hAnsi="Arial" w:cs="Arial"/>
            <w:sz w:val="20"/>
            <w:szCs w:val="20"/>
          </w:rPr>
          <w:t>circulars RBI/ 2015-16/ 293 DCM (NPD) No. 2564/ 09.40.02/ 2015-16 dated January 21, 2016</w:t>
        </w:r>
      </w:hyperlink>
      <w:r>
        <w:rPr>
          <w:rFonts w:ascii="Arial" w:hAnsi="Arial" w:cs="Arial"/>
          <w:color w:val="000000"/>
          <w:sz w:val="20"/>
          <w:szCs w:val="20"/>
        </w:rPr>
        <w:t> and </w:t>
      </w:r>
      <w:hyperlink r:id="rId48" w:tgtFrame="_blank" w:history="1">
        <w:r>
          <w:rPr>
            <w:rStyle w:val="Hyperlink"/>
            <w:rFonts w:ascii="Arial" w:hAnsi="Arial" w:cs="Arial"/>
            <w:sz w:val="20"/>
            <w:szCs w:val="20"/>
          </w:rPr>
          <w:t>DCM (</w:t>
        </w:r>
        <w:proofErr w:type="spellStart"/>
        <w:r>
          <w:rPr>
            <w:rStyle w:val="Hyperlink"/>
            <w:rFonts w:ascii="Arial" w:hAnsi="Arial" w:cs="Arial"/>
            <w:sz w:val="20"/>
            <w:szCs w:val="20"/>
          </w:rPr>
          <w:t>Plg</w:t>
        </w:r>
        <w:proofErr w:type="spellEnd"/>
        <w:r>
          <w:rPr>
            <w:rStyle w:val="Hyperlink"/>
            <w:rFonts w:ascii="Arial" w:hAnsi="Arial" w:cs="Arial"/>
            <w:sz w:val="20"/>
            <w:szCs w:val="20"/>
          </w:rPr>
          <w:t>.) No 2845/ 10.25.007/2018-19 dated May 23, 2019</w:t>
        </w:r>
      </w:hyperlink>
      <w:r>
        <w:rPr>
          <w:rFonts w:ascii="Arial" w:hAnsi="Arial" w:cs="Arial"/>
          <w:color w:val="000000"/>
          <w:sz w:val="20"/>
          <w:szCs w:val="20"/>
        </w:rPr>
        <w:t> on the captioned subject.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We have been receiving queries regarding the applicability of GST on the service charges levied on cash deposited by non-chest bank branches to the Currency Chests. It is clarified that the amount indicated in the aforesaid circulars are exclusive of applicable taxes. Accordingly, the service charges mentioned in the aforesaid circulars is to be read as ₹5 </w:t>
      </w:r>
      <w:r>
        <w:rPr>
          <w:rFonts w:ascii="Arial" w:hAnsi="Arial" w:cs="Arial"/>
          <w:color w:val="000000"/>
          <w:sz w:val="20"/>
          <w:szCs w:val="20"/>
          <w:u w:val="single"/>
        </w:rPr>
        <w:t>plus applicable taxes</w:t>
      </w:r>
      <w:r>
        <w:rPr>
          <w:rFonts w:ascii="Arial" w:hAnsi="Arial" w:cs="Arial"/>
          <w:color w:val="000000"/>
          <w:sz w:val="20"/>
          <w:szCs w:val="20"/>
        </w:rPr>
        <w:t> per packet and ₹8 </w:t>
      </w:r>
      <w:r>
        <w:rPr>
          <w:rFonts w:ascii="Arial" w:hAnsi="Arial" w:cs="Arial"/>
          <w:color w:val="000000"/>
          <w:sz w:val="20"/>
          <w:szCs w:val="20"/>
          <w:u w:val="single"/>
        </w:rPr>
        <w:t>plus applicable taxes</w:t>
      </w:r>
      <w:r>
        <w:rPr>
          <w:rFonts w:ascii="Arial" w:hAnsi="Arial" w:cs="Arial"/>
          <w:color w:val="000000"/>
          <w:sz w:val="20"/>
          <w:szCs w:val="20"/>
        </w:rPr>
        <w:t> per packet, as the case may be.</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2D338D" w:rsidRDefault="002D338D" w:rsidP="002D338D">
      <w:pPr>
        <w:pStyle w:val="NormalWeb"/>
        <w:rPr>
          <w:rFonts w:ascii="Arial" w:hAnsi="Arial" w:cs="Arial"/>
          <w:color w:val="000000"/>
          <w:sz w:val="20"/>
          <w:szCs w:val="20"/>
        </w:rPr>
      </w:pPr>
    </w:p>
    <w:p w:rsidR="002D338D" w:rsidRDefault="002D338D" w:rsidP="002D338D">
      <w:pPr>
        <w:pStyle w:val="NormalWeb"/>
        <w:rPr>
          <w:rFonts w:ascii="Arial" w:hAnsi="Arial" w:cs="Arial"/>
          <w:color w:val="000000"/>
          <w:sz w:val="20"/>
          <w:szCs w:val="20"/>
        </w:rPr>
      </w:pPr>
    </w:p>
    <w:p w:rsidR="002D338D" w:rsidRDefault="002D338D" w:rsidP="002D338D">
      <w:r>
        <w:t>More details can be referred to in the below link.</w:t>
      </w:r>
    </w:p>
    <w:p w:rsidR="002D338D" w:rsidRDefault="002D338D" w:rsidP="002D338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9" w:history="1">
        <w:r w:rsidRPr="006865D6">
          <w:rPr>
            <w:rStyle w:val="Hyperlink"/>
            <w:rFonts w:ascii="Arial" w:hAnsi="Arial" w:cs="Arial"/>
            <w:bCs/>
            <w:sz w:val="20"/>
            <w:szCs w:val="20"/>
          </w:rPr>
          <w:t>https://www.rbi.org.in/scripts/NotificationUser.aspx?Id=12383&amp;Mode=0</w:t>
        </w:r>
      </w:hyperlink>
    </w:p>
    <w:p w:rsidR="002D338D" w:rsidRDefault="002D338D" w:rsidP="002D338D">
      <w:pPr>
        <w:pStyle w:val="NormalWeb"/>
        <w:rPr>
          <w:rFonts w:ascii="Arial" w:hAnsi="Arial" w:cs="Arial"/>
          <w:bCs/>
          <w:color w:val="000000"/>
          <w:sz w:val="20"/>
          <w:szCs w:val="20"/>
        </w:rPr>
      </w:pPr>
    </w:p>
    <w:p w:rsidR="002D338D" w:rsidRDefault="002D338D" w:rsidP="002D338D">
      <w:pPr>
        <w:pStyle w:val="NormalWeb"/>
        <w:rPr>
          <w:rFonts w:ascii="Arial" w:hAnsi="Arial" w:cs="Arial"/>
          <w:bCs/>
          <w:color w:val="000000"/>
          <w:sz w:val="20"/>
          <w:szCs w:val="20"/>
        </w:rPr>
      </w:pPr>
    </w:p>
    <w:p w:rsidR="002D338D" w:rsidRDefault="002D338D" w:rsidP="002D338D">
      <w:pPr>
        <w:pStyle w:val="NormalWeb"/>
        <w:rPr>
          <w:rFonts w:ascii="Arial" w:hAnsi="Arial" w:cs="Arial"/>
          <w:bCs/>
          <w:color w:val="000000"/>
          <w:sz w:val="20"/>
          <w:szCs w:val="20"/>
        </w:rPr>
      </w:pPr>
    </w:p>
    <w:p w:rsidR="002D338D" w:rsidRDefault="002D338D" w:rsidP="002D338D">
      <w:pPr>
        <w:pStyle w:val="NormalWeb"/>
        <w:rPr>
          <w:rFonts w:ascii="Arial" w:hAnsi="Arial" w:cs="Arial"/>
          <w:bCs/>
          <w:color w:val="000000"/>
          <w:sz w:val="20"/>
          <w:szCs w:val="20"/>
        </w:rPr>
      </w:pPr>
    </w:p>
    <w:p w:rsidR="002D338D" w:rsidRDefault="002D338D" w:rsidP="002D338D">
      <w:pPr>
        <w:pStyle w:val="NormalWeb"/>
        <w:rPr>
          <w:rFonts w:ascii="Arial" w:hAnsi="Arial" w:cs="Arial"/>
          <w:bCs/>
          <w:color w:val="000000"/>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after="0"/>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07,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Dear Sir/Madam,</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50"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2D338D" w:rsidRDefault="002D338D" w:rsidP="002D338D">
      <w:pPr>
        <w:pStyle w:val="NormalWeb"/>
        <w:numPr>
          <w:ilvl w:val="0"/>
          <w:numId w:val="30"/>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51"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2D338D" w:rsidRDefault="002D338D" w:rsidP="002D338D">
      <w:pPr>
        <w:pStyle w:val="NormalWeb"/>
        <w:numPr>
          <w:ilvl w:val="0"/>
          <w:numId w:val="30"/>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2D338D" w:rsidRDefault="002D338D" w:rsidP="002D338D">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 w:rsidR="002D338D" w:rsidRDefault="002D338D" w:rsidP="002D338D">
      <w:r>
        <w:t>More details can be referred to in the below link.</w:t>
      </w:r>
    </w:p>
    <w:p w:rsidR="002D338D" w:rsidRDefault="002D338D" w:rsidP="002D338D">
      <w:pPr>
        <w:spacing w:after="0"/>
        <w:rPr>
          <w:rFonts w:ascii="Arial" w:hAnsi="Arial" w:cs="Arial"/>
          <w:bCs/>
          <w:color w:val="000000"/>
          <w:sz w:val="20"/>
          <w:szCs w:val="20"/>
        </w:rPr>
      </w:pPr>
      <w:r>
        <w:rPr>
          <w:rFonts w:ascii="Arial" w:hAnsi="Arial" w:cs="Arial"/>
          <w:bCs/>
          <w:color w:val="000000"/>
          <w:sz w:val="20"/>
          <w:szCs w:val="20"/>
        </w:rPr>
        <w:t xml:space="preserve">Reference Link: </w:t>
      </w:r>
      <w:hyperlink r:id="rId52" w:history="1">
        <w:r w:rsidRPr="00550186">
          <w:rPr>
            <w:rStyle w:val="Hyperlink"/>
            <w:rFonts w:ascii="Arial" w:hAnsi="Arial" w:cs="Arial"/>
            <w:bCs/>
            <w:sz w:val="20"/>
            <w:szCs w:val="20"/>
          </w:rPr>
          <w:t>https://www.rbi.org.in/scripts/NotificationUser.aspx?Id=12384&amp;Mode=0</w:t>
        </w:r>
      </w:hyperlink>
    </w:p>
    <w:p w:rsidR="00D46302" w:rsidRDefault="00D46302">
      <w:pPr>
        <w:spacing w:line="259" w:lineRule="auto"/>
        <w:rPr>
          <w:rFonts w:ascii="Arial" w:hAnsi="Arial" w:cs="Arial"/>
          <w:sz w:val="20"/>
          <w:szCs w:val="20"/>
        </w:rPr>
      </w:pPr>
      <w:r>
        <w:rPr>
          <w:rFonts w:ascii="Arial" w:hAnsi="Arial" w:cs="Arial"/>
          <w:sz w:val="20"/>
          <w:szCs w:val="20"/>
        </w:rPr>
        <w:br w:type="page"/>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Compliance Function and Role of Chief Compliance Officer (CCO)- Urban Co-operative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RBI/2022-2023/118</w:t>
      </w:r>
      <w:r>
        <w:rPr>
          <w:rFonts w:ascii="Arial" w:hAnsi="Arial" w:cs="Arial"/>
          <w:color w:val="000000"/>
          <w:sz w:val="20"/>
          <w:szCs w:val="20"/>
        </w:rPr>
        <w:br/>
      </w:r>
      <w:proofErr w:type="spellStart"/>
      <w:r>
        <w:rPr>
          <w:rFonts w:ascii="Arial" w:hAnsi="Arial" w:cs="Arial"/>
          <w:color w:val="000000"/>
          <w:sz w:val="20"/>
          <w:szCs w:val="20"/>
        </w:rPr>
        <w:t>Ref.No.DoS.CO.PPG</w:t>
      </w:r>
      <w:proofErr w:type="spellEnd"/>
      <w:r>
        <w:rPr>
          <w:rFonts w:ascii="Arial" w:hAnsi="Arial" w:cs="Arial"/>
          <w:color w:val="000000"/>
          <w:sz w:val="20"/>
          <w:szCs w:val="20"/>
        </w:rPr>
        <w:t>/SEC.04/11.01.005/2022-23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19,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Primary (Urban) Co-operative Banks (UCBs)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Dear Sir,</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u w:val="single"/>
        </w:rPr>
        <w:t>Compliance Function and Role of Chief Compliance Officer (CCO)-</w:t>
      </w:r>
      <w:r>
        <w:rPr>
          <w:rFonts w:ascii="Arial" w:hAnsi="Arial" w:cs="Arial"/>
          <w:b/>
          <w:bCs/>
          <w:color w:val="000000"/>
          <w:sz w:val="20"/>
          <w:szCs w:val="20"/>
          <w:u w:val="single"/>
        </w:rPr>
        <w:br/>
        <w:t>Urban Co-operative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As part of the overall structure for Corporate Governance, the Compliance Function serves a critical role. Therefore, it has been decided to introduce certain principles, standards and procedures for Compliance Function in UCBs, keeping in view the principles of proportionality. Accordingly, this Circular shall be applicable to all UCBs under Tier 3 and Tier 4 categories</w:t>
      </w:r>
      <w:hyperlink r:id="rId53" w:anchor="FN1" w:history="1">
        <w:r>
          <w:rPr>
            <w:rStyle w:val="Hyperlink"/>
            <w:rFonts w:ascii="Arial" w:hAnsi="Arial" w:cs="Arial"/>
            <w:sz w:val="15"/>
            <w:szCs w:val="15"/>
            <w:vertAlign w:val="superscript"/>
          </w:rPr>
          <w:t>1</w:t>
        </w:r>
      </w:hyperlink>
      <w:r>
        <w:rPr>
          <w:rFonts w:ascii="Arial" w:hAnsi="Arial" w:cs="Arial"/>
          <w:color w:val="000000"/>
          <w:sz w:val="20"/>
          <w:szCs w:val="20"/>
        </w:rPr>
        <w:t> except UCBs under All Inclusive Directions (AID)</w:t>
      </w:r>
      <w:hyperlink r:id="rId54" w:anchor="FN2" w:history="1">
        <w:r>
          <w:rPr>
            <w:rStyle w:val="Hyperlink"/>
            <w:rFonts w:ascii="Arial" w:hAnsi="Arial" w:cs="Arial"/>
            <w:sz w:val="15"/>
            <w:szCs w:val="15"/>
            <w:vertAlign w:val="superscript"/>
          </w:rPr>
          <w:t>2</w:t>
        </w:r>
      </w:hyperlink>
      <w:r>
        <w:rPr>
          <w:rFonts w:ascii="Arial" w:hAnsi="Arial" w:cs="Arial"/>
          <w:color w:val="000000"/>
          <w:sz w:val="20"/>
          <w:szCs w:val="20"/>
        </w:rPr>
        <w:t>. UCBs under Tier 1 and Tier 2 categories shall continue to be governed under the existing guidelines</w:t>
      </w:r>
      <w:hyperlink r:id="rId55" w:anchor="FN3" w:history="1">
        <w:r>
          <w:rPr>
            <w:rStyle w:val="Hyperlink"/>
            <w:rFonts w:ascii="Arial" w:hAnsi="Arial" w:cs="Arial"/>
            <w:sz w:val="15"/>
            <w:szCs w:val="15"/>
            <w:vertAlign w:val="superscript"/>
          </w:rPr>
          <w:t>3</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 UCBs under Tier 4 category shall put in place a Board-approved policy and a Compliance Function, including the appointment of a Chief Compliance Officer (CCO), based on the Framework given in the </w:t>
      </w:r>
      <w:hyperlink r:id="rId56" w:anchor="AN" w:history="1">
        <w:r>
          <w:rPr>
            <w:rStyle w:val="Hyperlink"/>
            <w:rFonts w:ascii="Arial" w:hAnsi="Arial" w:cs="Arial"/>
            <w:sz w:val="20"/>
            <w:szCs w:val="20"/>
          </w:rPr>
          <w:t>Annex</w:t>
        </w:r>
      </w:hyperlink>
      <w:r>
        <w:rPr>
          <w:rFonts w:ascii="Arial" w:hAnsi="Arial" w:cs="Arial"/>
          <w:color w:val="000000"/>
          <w:sz w:val="20"/>
          <w:szCs w:val="20"/>
        </w:rPr>
        <w:t>, latest by April 1, 2023. The UCBs under Tier 3 category shall implement the same latest by October 1, 2023.</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This Circular shall be placed in the immediate next meeting of the Board of Directors for information and devising an implementation strategy, under the Board’s supervision, in a time-bound manner.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Tarun</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7" w:history="1">
        <w:r w:rsidRPr="00735218">
          <w:rPr>
            <w:rStyle w:val="Hyperlink"/>
            <w:rFonts w:ascii="Arial" w:hAnsi="Arial" w:cs="Arial"/>
            <w:bCs/>
            <w:sz w:val="20"/>
            <w:szCs w:val="20"/>
          </w:rPr>
          <w:t>https://rbi.org.in/Scripts/NotificationUser.aspx?Id=12389&amp;Mode=0</w:t>
        </w:r>
      </w:hyperlink>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after="0"/>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2D338D" w:rsidRDefault="002D338D" w:rsidP="002D338D">
      <w:pPr>
        <w:spacing w:after="0"/>
        <w:rPr>
          <w:rFonts w:ascii="Arial" w:hAnsi="Arial" w:cs="Arial"/>
          <w:b/>
          <w:bCs/>
          <w:color w:val="000000"/>
          <w:sz w:val="20"/>
          <w:szCs w:val="20"/>
        </w:rPr>
      </w:pP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September 30,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Sir</w:t>
      </w:r>
    </w:p>
    <w:p w:rsidR="002D338D" w:rsidRDefault="002D338D" w:rsidP="002D338D">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5812"/>
        <w:gridCol w:w="1841"/>
      </w:tblGrid>
      <w:tr w:rsidR="002D338D" w:rsidTr="002D338D">
        <w:tc>
          <w:tcPr>
            <w:tcW w:w="498" w:type="pct"/>
            <w:tcMar>
              <w:top w:w="0" w:type="dxa"/>
              <w:left w:w="45" w:type="dxa"/>
              <w:bottom w:w="0" w:type="dxa"/>
              <w:right w:w="45" w:type="dxa"/>
            </w:tcMar>
            <w:vAlign w:val="center"/>
            <w:hideMark/>
          </w:tcPr>
          <w:p w:rsidR="002D338D" w:rsidRDefault="002D338D" w:rsidP="002D338D">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419"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LSF Amount (INR)</w:t>
            </w:r>
          </w:p>
        </w:tc>
      </w:tr>
      <w:tr w:rsidR="002D338D" w:rsidTr="002D338D">
        <w:tc>
          <w:tcPr>
            <w:tcW w:w="498"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1</w:t>
            </w:r>
          </w:p>
        </w:tc>
        <w:tc>
          <w:tcPr>
            <w:tcW w:w="3419"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7500</w:t>
            </w:r>
          </w:p>
        </w:tc>
      </w:tr>
      <w:tr w:rsidR="002D338D" w:rsidTr="002D338D">
        <w:tc>
          <w:tcPr>
            <w:tcW w:w="498"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w:t>
            </w:r>
          </w:p>
        </w:tc>
        <w:tc>
          <w:tcPr>
            <w:tcW w:w="3419"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084"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[7500 + (0.025% × A × n)]</w:t>
            </w:r>
          </w:p>
        </w:tc>
      </w:tr>
    </w:tbl>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4. The ‘</w:t>
      </w:r>
      <w:hyperlink r:id="rId58"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59"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2D338D" w:rsidRDefault="002D338D" w:rsidP="002D338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2D338D" w:rsidRDefault="002D338D" w:rsidP="002D338D">
      <w:pPr>
        <w:spacing w:after="0"/>
        <w:rPr>
          <w:rFonts w:ascii="Arial" w:hAnsi="Arial" w:cs="Arial"/>
          <w:b/>
          <w:bCs/>
          <w:color w:val="000000"/>
          <w:sz w:val="20"/>
          <w:szCs w:val="20"/>
        </w:rPr>
      </w:pPr>
    </w:p>
    <w:p w:rsidR="002D338D" w:rsidRDefault="002D338D" w:rsidP="002D338D">
      <w:pPr>
        <w:spacing w:after="0"/>
        <w:rPr>
          <w:rFonts w:ascii="Arial" w:hAnsi="Arial" w:cs="Arial"/>
          <w:b/>
          <w:bCs/>
          <w:color w:val="000000"/>
          <w:sz w:val="20"/>
          <w:szCs w:val="20"/>
        </w:rPr>
      </w:pPr>
    </w:p>
    <w:p w:rsidR="002D338D" w:rsidRPr="00435B25" w:rsidRDefault="002D338D" w:rsidP="002D338D">
      <w:pPr>
        <w:spacing w:after="0"/>
        <w:rPr>
          <w:rFonts w:ascii="Arial" w:hAnsi="Arial" w:cs="Arial"/>
          <w:sz w:val="20"/>
          <w:szCs w:val="20"/>
        </w:rPr>
      </w:pPr>
      <w:r w:rsidRPr="00435B25">
        <w:rPr>
          <w:rFonts w:ascii="Arial" w:hAnsi="Arial" w:cs="Arial"/>
          <w:sz w:val="20"/>
          <w:szCs w:val="20"/>
        </w:rPr>
        <w:t>More details can be referred to in the below link.</w:t>
      </w:r>
    </w:p>
    <w:p w:rsidR="002D338D" w:rsidRDefault="002D338D" w:rsidP="002D338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0" w:history="1">
        <w:r w:rsidRPr="009517FA">
          <w:rPr>
            <w:rStyle w:val="Hyperlink"/>
            <w:rFonts w:ascii="Arial" w:hAnsi="Arial" w:cs="Arial"/>
            <w:sz w:val="20"/>
            <w:szCs w:val="20"/>
          </w:rPr>
          <w:t>https://www.rbi.org.in/scripts/NotificationUser.aspx?Id=12393&amp;Mode=0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RBI/2022-23/124</w:t>
      </w:r>
      <w:r>
        <w:rPr>
          <w:rFonts w:ascii="Arial" w:hAnsi="Arial" w:cs="Arial"/>
          <w:color w:val="000000"/>
          <w:sz w:val="20"/>
          <w:szCs w:val="20"/>
        </w:rPr>
        <w:br/>
        <w:t>CEPD.PRD.No.S806/13-01-008/2022-23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6,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All Credit Information Companies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paragraph 2 of the </w:t>
      </w:r>
      <w:hyperlink r:id="rId61" w:tgtFrame="_blank" w:history="1">
        <w:r>
          <w:rPr>
            <w:rStyle w:val="Hyperlink"/>
            <w:rFonts w:ascii="Arial" w:hAnsi="Arial" w:cs="Arial"/>
            <w:sz w:val="20"/>
            <w:szCs w:val="20"/>
          </w:rPr>
          <w:t>Statement on Developmental and Regulatory Policies dated August 5, 2022</w:t>
        </w:r>
      </w:hyperlink>
      <w:r>
        <w:rPr>
          <w:rFonts w:ascii="Arial" w:hAnsi="Arial" w:cs="Arial"/>
          <w:color w:val="000000"/>
          <w:sz w:val="20"/>
          <w:szCs w:val="20"/>
        </w:rPr>
        <w:t xml:space="preserve">, wherein the decision to bring Credit Information Companies (CICs) under the Internal Ombudsman (IO) Framework was announced with a view to strengthen and improve the efficiency of the internal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mechanisms of CICs.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by sub section (1) of Section 11 of the Credit Information Companies (Regulation) Act, 2005 (the Act), the Reserve Bank of India, being satisfied that it is in public interest to do so, directs all Credit Information Companies holding a Certificate of Registration under sub-section (2) of Section 5 of the Act, to comply with the Reserve Bank of India (Credit Information Companies- Internal Ombudsman) Directions, 2022 </w:t>
      </w:r>
      <w:hyperlink r:id="rId62" w:anchor="AN" w:history="1">
        <w:r>
          <w:rPr>
            <w:rStyle w:val="Hyperlink"/>
            <w:rFonts w:ascii="Arial" w:hAnsi="Arial" w:cs="Arial"/>
            <w:sz w:val="20"/>
            <w:szCs w:val="20"/>
          </w:rPr>
          <w:t>annexed</w:t>
        </w:r>
      </w:hyperlink>
      <w:r>
        <w:rPr>
          <w:rFonts w:ascii="Arial" w:hAnsi="Arial" w:cs="Arial"/>
          <w:color w:val="000000"/>
          <w:sz w:val="20"/>
          <w:szCs w:val="20"/>
        </w:rPr>
        <w:t> herewith, by April 1, 2023.</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Pr="00435B25" w:rsidRDefault="002D338D" w:rsidP="002D338D">
      <w:pPr>
        <w:spacing w:after="0"/>
        <w:rPr>
          <w:rFonts w:ascii="Arial" w:hAnsi="Arial" w:cs="Arial"/>
          <w:sz w:val="20"/>
          <w:szCs w:val="20"/>
        </w:rPr>
      </w:pPr>
      <w:r w:rsidRPr="00435B25">
        <w:rPr>
          <w:rFonts w:ascii="Arial" w:hAnsi="Arial" w:cs="Arial"/>
          <w:sz w:val="20"/>
          <w:szCs w:val="20"/>
        </w:rPr>
        <w:t>More details can be referred to in the below link.</w:t>
      </w:r>
    </w:p>
    <w:p w:rsidR="002D338D" w:rsidRDefault="002D338D" w:rsidP="002D338D">
      <w:pPr>
        <w:spacing w:line="259" w:lineRule="auto"/>
        <w:rPr>
          <w:rFonts w:ascii="Arial" w:hAnsi="Arial" w:cs="Arial"/>
          <w:bCs/>
          <w:color w:val="000000"/>
          <w:sz w:val="20"/>
          <w:szCs w:val="20"/>
        </w:rPr>
      </w:pPr>
      <w:r w:rsidRPr="00435B25">
        <w:rPr>
          <w:rFonts w:ascii="Arial" w:hAnsi="Arial" w:cs="Arial"/>
          <w:sz w:val="20"/>
          <w:szCs w:val="20"/>
        </w:rPr>
        <w:t>Reference Link:</w:t>
      </w:r>
      <w:r>
        <w:rPr>
          <w:rFonts w:ascii="Arial" w:hAnsi="Arial" w:cs="Arial"/>
          <w:b/>
          <w:bCs/>
          <w:color w:val="000000"/>
          <w:sz w:val="20"/>
          <w:szCs w:val="20"/>
        </w:rPr>
        <w:t xml:space="preserve"> </w:t>
      </w:r>
      <w:hyperlink r:id="rId63" w:history="1">
        <w:r w:rsidRPr="009517FA">
          <w:rPr>
            <w:rStyle w:val="Hyperlink"/>
            <w:rFonts w:ascii="Arial" w:hAnsi="Arial" w:cs="Arial"/>
            <w:bCs/>
            <w:sz w:val="20"/>
            <w:szCs w:val="20"/>
          </w:rPr>
          <w:t>https://www.rbi.org.in/Scripts/NotificationUser.aspx?Id=12395&amp;Mode=0</w:t>
        </w:r>
      </w:hyperlink>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b/>
          <w:bCs/>
          <w:color w:val="000000"/>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10,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paragraph 6.8.1 (i) of </w:t>
      </w:r>
      <w:hyperlink r:id="rId64"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65" w:history="1">
        <w:r w:rsidRPr="00B27270">
          <w:rPr>
            <w:rStyle w:val="Hyperlink"/>
            <w:rFonts w:ascii="Arial" w:hAnsi="Arial" w:cs="Arial"/>
            <w:bCs/>
            <w:sz w:val="20"/>
            <w:szCs w:val="20"/>
          </w:rPr>
          <w:t>https://www.rbi.org.in/Scripts/NotificationUser.aspx?Id=12396&amp;Mode=0</w:t>
        </w:r>
      </w:hyperlink>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RBI/2022-23/128</w:t>
      </w:r>
      <w:r>
        <w:rPr>
          <w:rFonts w:ascii="Arial" w:hAnsi="Arial" w:cs="Arial"/>
          <w:color w:val="000000"/>
          <w:sz w:val="20"/>
          <w:szCs w:val="20"/>
        </w:rPr>
        <w:br/>
        <w:t>DoR.SIG.FIN.REC.75/26.03.001/2022-23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11,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Dear Sir/ Madam,</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ARCs play a vital role in the management of distressed financial assets of banks and financial institutions. Considering their critical role, a need was felt to review their functioning and operating framework. Accordingly, as part of the </w:t>
      </w:r>
      <w:hyperlink r:id="rId66"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along with the </w:t>
      </w:r>
      <w:hyperlink r:id="rId67" w:tgtFrame="_blank" w:history="1">
        <w:r>
          <w:rPr>
            <w:rStyle w:val="Hyperlink"/>
            <w:rFonts w:ascii="Arial" w:hAnsi="Arial" w:cs="Arial"/>
            <w:sz w:val="20"/>
            <w:szCs w:val="20"/>
          </w:rPr>
          <w:t>Monetary Policy Statement on April 7, 2021</w:t>
        </w:r>
      </w:hyperlink>
      <w:r>
        <w:rPr>
          <w:rFonts w:ascii="Arial" w:hAnsi="Arial" w:cs="Arial"/>
          <w:color w:val="000000"/>
          <w:sz w:val="20"/>
          <w:szCs w:val="20"/>
        </w:rPr>
        <w:t>, the Reserve Bank of India had set up a Committee to undertake a comprehensive review of the working of ARCs and recommend suitable measures for enabling them to function in a more transparent and efficient manner.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Based on the Committee’s recommendations and feedback from the stakeholders, the extant regulatory framework for ARCs has been amended as detailed in the </w:t>
      </w:r>
      <w:hyperlink r:id="rId68" w:anchor="AN1"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These guidelines shall be effective immediately or as indicated otherwise in the </w:t>
      </w:r>
      <w:hyperlink r:id="rId69" w:anchor="AN1"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62290B">
          <w:rPr>
            <w:rStyle w:val="Hyperlink"/>
            <w:rFonts w:ascii="Arial" w:hAnsi="Arial" w:cs="Arial"/>
            <w:bCs/>
            <w:sz w:val="20"/>
            <w:szCs w:val="20"/>
          </w:rPr>
          <w:t>https://m.rbi.org.in/Scripts/BS_CircularIndexDisplay.aspx?Id=12399</w:t>
        </w:r>
      </w:hyperlink>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11,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 / 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71"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2D338D" w:rsidRDefault="002D338D" w:rsidP="002D338D">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72"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2D338D" w:rsidRDefault="002D338D" w:rsidP="002D338D">
      <w:pPr>
        <w:pStyle w:val="NormalWeb"/>
        <w:numPr>
          <w:ilvl w:val="0"/>
          <w:numId w:val="31"/>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73"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2D338D" w:rsidRDefault="002D338D" w:rsidP="002D338D">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2D338D" w:rsidTr="002D338D">
        <w:trPr>
          <w:trHeight w:val="437"/>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b/>
                <w:bCs/>
                <w:color w:val="000000"/>
                <w:sz w:val="20"/>
                <w:szCs w:val="20"/>
              </w:rPr>
            </w:pPr>
            <w:r>
              <w:rPr>
                <w:rFonts w:ascii="Arial" w:hAnsi="Arial" w:cs="Arial"/>
                <w:b/>
                <w:bCs/>
                <w:color w:val="000000"/>
                <w:sz w:val="20"/>
                <w:szCs w:val="20"/>
              </w:rPr>
              <w:t>UCBs (%)</w:t>
            </w:r>
          </w:p>
        </w:tc>
      </w:tr>
      <w:tr w:rsidR="002D338D" w:rsidTr="002D338D">
        <w:trPr>
          <w:trHeight w:val="442"/>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r>
      <w:tr w:rsidR="002D338D" w:rsidTr="002D338D">
        <w:trPr>
          <w:trHeight w:val="273"/>
          <w:jc w:val="center"/>
        </w:trPr>
        <w:tc>
          <w:tcPr>
            <w:tcW w:w="286"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D338D" w:rsidRDefault="002D338D" w:rsidP="002D338D">
            <w:pPr>
              <w:jc w:val="center"/>
              <w:rPr>
                <w:rFonts w:ascii="Arial" w:hAnsi="Arial" w:cs="Arial"/>
                <w:color w:val="000000"/>
                <w:sz w:val="20"/>
                <w:szCs w:val="20"/>
              </w:rPr>
            </w:pPr>
            <w:r>
              <w:rPr>
                <w:rFonts w:ascii="Arial" w:hAnsi="Arial" w:cs="Arial"/>
                <w:color w:val="000000"/>
                <w:sz w:val="20"/>
                <w:szCs w:val="20"/>
              </w:rPr>
              <w:t>15*</w:t>
            </w:r>
          </w:p>
        </w:tc>
      </w:tr>
      <w:tr w:rsidR="002D338D" w:rsidTr="002D338D">
        <w:trPr>
          <w:trHeight w:val="197"/>
          <w:jc w:val="center"/>
        </w:trPr>
        <w:tc>
          <w:tcPr>
            <w:tcW w:w="5000" w:type="pct"/>
            <w:gridSpan w:val="4"/>
            <w:tcMar>
              <w:top w:w="0" w:type="dxa"/>
              <w:left w:w="45" w:type="dxa"/>
              <w:bottom w:w="0" w:type="dxa"/>
              <w:right w:w="45" w:type="dxa"/>
            </w:tcMar>
            <w:vAlign w:val="center"/>
            <w:hideMark/>
          </w:tcPr>
          <w:p w:rsidR="002D338D" w:rsidRDefault="002D338D" w:rsidP="002D338D">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2D338D" w:rsidRDefault="002D338D" w:rsidP="002D338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after="0"/>
      </w:pPr>
    </w:p>
    <w:p w:rsidR="002D338D" w:rsidRDefault="002D338D" w:rsidP="002D338D">
      <w:pPr>
        <w:spacing w:after="0"/>
      </w:pPr>
      <w:r>
        <w:t>More details can be referred to in the below link.</w:t>
      </w:r>
    </w:p>
    <w:p w:rsidR="002D338D" w:rsidRDefault="002D338D" w:rsidP="002D338D">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74"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2D338D" w:rsidRDefault="002D338D" w:rsidP="002D338D">
      <w:pPr>
        <w:spacing w:line="259" w:lineRule="auto"/>
        <w:rPr>
          <w:rFonts w:ascii="Arial" w:hAnsi="Arial" w:cs="Arial"/>
          <w:sz w:val="20"/>
          <w:szCs w:val="20"/>
        </w:rPr>
      </w:pPr>
    </w:p>
    <w:p w:rsidR="002D338D" w:rsidRDefault="002D338D" w:rsidP="002D338D">
      <w:pPr>
        <w:pStyle w:val="NormalWeb"/>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13, 2022</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Madam/Dear Sir,</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75"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2D338D" w:rsidRDefault="002D338D" w:rsidP="002D338D"/>
    <w:p w:rsidR="002D338D" w:rsidRDefault="002D338D" w:rsidP="002D338D"/>
    <w:p w:rsidR="002D338D" w:rsidRDefault="002D338D" w:rsidP="002D338D">
      <w:r>
        <w:t>More details can be referred to in the below link.</w:t>
      </w:r>
    </w:p>
    <w:p w:rsidR="002D338D" w:rsidRDefault="002D338D" w:rsidP="002D338D">
      <w:pPr>
        <w:spacing w:after="0"/>
        <w:rPr>
          <w:rStyle w:val="Hyperlink"/>
          <w:rFonts w:ascii="Arial" w:hAnsi="Arial" w:cs="Arial"/>
          <w:sz w:val="20"/>
          <w:szCs w:val="20"/>
        </w:rPr>
      </w:pPr>
      <w:r>
        <w:rPr>
          <w:rFonts w:ascii="Arial" w:hAnsi="Arial" w:cs="Arial"/>
          <w:bCs/>
          <w:color w:val="000000"/>
          <w:sz w:val="20"/>
          <w:szCs w:val="20"/>
        </w:rPr>
        <w:t xml:space="preserve">Reference Link: </w:t>
      </w:r>
      <w:hyperlink r:id="rId76" w:history="1">
        <w:r w:rsidRPr="006865D6">
          <w:rPr>
            <w:rStyle w:val="Hyperlink"/>
            <w:rFonts w:ascii="Arial" w:hAnsi="Arial" w:cs="Arial"/>
            <w:sz w:val="20"/>
            <w:szCs w:val="20"/>
          </w:rPr>
          <w:t>https://www.rbi.org.in/scripts/FS_Notification.aspx?Id=12403&amp;fn=2&amp;Mode=0</w:t>
        </w:r>
      </w:hyperlink>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after="0"/>
        <w:rPr>
          <w:rStyle w:val="Hyperlink"/>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810FE8" w:rsidRDefault="00810FE8" w:rsidP="00810FE8">
      <w:pPr>
        <w:pStyle w:val="NormalWeb"/>
        <w:rPr>
          <w:rFonts w:ascii="Arial" w:hAnsi="Arial" w:cs="Arial"/>
          <w:b/>
          <w:color w:val="000000"/>
          <w:sz w:val="20"/>
          <w:szCs w:val="20"/>
        </w:rPr>
      </w:pPr>
      <w:r w:rsidRPr="0085415B">
        <w:rPr>
          <w:rFonts w:ascii="Arial" w:hAnsi="Arial" w:cs="Arial"/>
          <w:b/>
          <w:color w:val="000000"/>
          <w:sz w:val="20"/>
          <w:szCs w:val="20"/>
        </w:rPr>
        <w:t>Agency Commission for Direct Tax collection under TIN 2.0 regime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RBI/2022-23/136</w:t>
      </w:r>
      <w:r>
        <w:rPr>
          <w:rFonts w:ascii="Arial" w:hAnsi="Arial" w:cs="Arial"/>
          <w:color w:val="000000"/>
          <w:sz w:val="20"/>
          <w:szCs w:val="20"/>
        </w:rPr>
        <w:br/>
        <w:t>CO.DGBA.GBD.No.S957/43-33-005/2022-2023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14,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All Agency banks (authorised to collect direct taxes)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 / 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Agency Commission for Direct Tax collection under TIN 2.0 regime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77" w:tgtFrame="_blank" w:history="1">
        <w:r>
          <w:rPr>
            <w:rStyle w:val="Hyperlink"/>
            <w:rFonts w:ascii="Arial" w:hAnsi="Arial" w:cs="Arial"/>
            <w:sz w:val="20"/>
            <w:szCs w:val="20"/>
          </w:rPr>
          <w:t>Master Circular on Conduct of Government Business by Agency Banks - Payment of Agency Commission dated April 1, 2022</w:t>
        </w:r>
      </w:hyperlink>
      <w:r>
        <w:rPr>
          <w:rFonts w:ascii="Arial" w:hAnsi="Arial" w:cs="Arial"/>
          <w:color w:val="000000"/>
          <w:sz w:val="20"/>
          <w:szCs w:val="20"/>
        </w:rPr>
        <w:t> related to claiming of agency commission.</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After implementation of TIN 2.0 regime for collection of direct taxes, it has been decided to modify paragraph 21 of the captioned Master Circular. The modified paragraph 21 will read as follows: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t>
      </w:r>
      <w:r>
        <w:rPr>
          <w:rFonts w:ascii="Arial" w:hAnsi="Arial" w:cs="Arial"/>
          <w:color w:val="000000"/>
          <w:sz w:val="20"/>
          <w:szCs w:val="20"/>
          <w:u w:val="single"/>
        </w:rPr>
        <w:t>and transactions related to direct tax collection under TIN 2.0 regime</w:t>
      </w:r>
      <w:r>
        <w:rPr>
          <w:rFonts w:ascii="Arial" w:hAnsi="Arial" w:cs="Arial"/>
          <w:color w:val="000000"/>
          <w:sz w:val="20"/>
          <w:szCs w:val="20"/>
        </w:rPr>
        <w:t> will be settled at Mumbai Regional Office of Reserve Bank of India only and accordingly all agency banks, authorized to collect GST </w:t>
      </w:r>
      <w:r>
        <w:rPr>
          <w:rFonts w:ascii="Arial" w:hAnsi="Arial" w:cs="Arial"/>
          <w:color w:val="000000"/>
          <w:sz w:val="20"/>
          <w:szCs w:val="20"/>
          <w:u w:val="single"/>
        </w:rPr>
        <w:t>and direct tax collection under TIN 2.0</w:t>
      </w:r>
      <w:r>
        <w:rPr>
          <w:rFonts w:ascii="Arial" w:hAnsi="Arial" w:cs="Arial"/>
          <w:color w:val="000000"/>
          <w:sz w:val="20"/>
          <w:szCs w:val="20"/>
        </w:rPr>
        <w:t>, are advised to submit their agency commission claims pertaining to </w:t>
      </w:r>
      <w:r>
        <w:rPr>
          <w:rFonts w:ascii="Arial" w:hAnsi="Arial" w:cs="Arial"/>
          <w:color w:val="000000"/>
          <w:sz w:val="20"/>
          <w:szCs w:val="20"/>
          <w:u w:val="single"/>
        </w:rPr>
        <w:t>the respective</w:t>
      </w:r>
      <w:r>
        <w:rPr>
          <w:rFonts w:ascii="Arial" w:hAnsi="Arial" w:cs="Arial"/>
          <w:color w:val="000000"/>
          <w:sz w:val="20"/>
          <w:szCs w:val="20"/>
        </w:rPr>
        <w:t> receipt transactions at Mumbai Regional Office only. </w:t>
      </w:r>
      <w:r>
        <w:rPr>
          <w:rFonts w:ascii="Arial" w:hAnsi="Arial" w:cs="Arial"/>
          <w:color w:val="000000"/>
          <w:sz w:val="20"/>
          <w:szCs w:val="20"/>
          <w:u w:val="single"/>
        </w:rPr>
        <w:t>The agency commission for transactions related to direct tax under OLTAS will be continued to be settled at CAS, Nagpur, RBI.</w:t>
      </w:r>
      <w:r>
        <w:rPr>
          <w:rFonts w:ascii="Arial" w:hAnsi="Arial" w:cs="Arial"/>
          <w:color w:val="000000"/>
          <w:sz w:val="20"/>
          <w:szCs w:val="20"/>
        </w:rPr>
        <w:t>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Indranil</w:t>
      </w:r>
      <w:proofErr w:type="spellEnd"/>
      <w:r>
        <w:rPr>
          <w:rFonts w:ascii="Arial" w:hAnsi="Arial" w:cs="Arial"/>
          <w:color w:val="000000"/>
          <w:sz w:val="20"/>
          <w:szCs w:val="20"/>
        </w:rPr>
        <w:t xml:space="preserve"> Chakraborty)</w:t>
      </w:r>
      <w:r>
        <w:rPr>
          <w:rFonts w:ascii="Arial" w:hAnsi="Arial" w:cs="Arial"/>
          <w:color w:val="000000"/>
          <w:sz w:val="20"/>
          <w:szCs w:val="20"/>
        </w:rPr>
        <w:br/>
        <w:t>Chief General Manager</w:t>
      </w:r>
    </w:p>
    <w:p w:rsidR="00810FE8" w:rsidRDefault="00810FE8" w:rsidP="00810FE8">
      <w:pPr>
        <w:pStyle w:val="NormalWeb"/>
        <w:rPr>
          <w:rFonts w:ascii="Arial" w:hAnsi="Arial" w:cs="Arial"/>
          <w:color w:val="000000"/>
          <w:sz w:val="20"/>
          <w:szCs w:val="20"/>
        </w:rPr>
      </w:pPr>
    </w:p>
    <w:p w:rsidR="00810FE8" w:rsidRDefault="00810FE8" w:rsidP="00810FE8"/>
    <w:p w:rsidR="00810FE8" w:rsidRDefault="00810FE8" w:rsidP="00810FE8">
      <w:r>
        <w:t>More details can be referred to in the below link.</w:t>
      </w:r>
    </w:p>
    <w:p w:rsidR="002D338D" w:rsidRDefault="00810FE8" w:rsidP="00810FE8">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78" w:history="1">
        <w:r w:rsidRPr="006865D6">
          <w:rPr>
            <w:rStyle w:val="Hyperlink"/>
            <w:rFonts w:ascii="Arial" w:hAnsi="Arial" w:cs="Arial"/>
            <w:bCs/>
            <w:sz w:val="20"/>
            <w:szCs w:val="20"/>
          </w:rPr>
          <w:t>https://www.rbi.org.in/Scripts/NotificationUser.aspx?Id=12408&amp;Mode=0</w:t>
        </w:r>
      </w:hyperlink>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spacing w:line="259" w:lineRule="auto"/>
        <w:rPr>
          <w:rStyle w:val="Hyperlink"/>
          <w:rFonts w:ascii="Arial" w:hAnsi="Arial" w:cs="Arial"/>
          <w:bCs/>
          <w:sz w:val="20"/>
          <w:szCs w:val="20"/>
        </w:rPr>
      </w:pPr>
    </w:p>
    <w:p w:rsidR="00810FE8" w:rsidRDefault="00810FE8" w:rsidP="00810FE8">
      <w:pPr>
        <w:pStyle w:val="NormalWeb"/>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23, 2022</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79"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 xml:space="preserve">(i)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810FE8" w:rsidTr="00D4513C">
        <w:trPr>
          <w:trHeight w:val="418"/>
          <w:jc w:val="center"/>
        </w:trPr>
        <w:tc>
          <w:tcPr>
            <w:tcW w:w="873" w:type="pct"/>
            <w:tcMar>
              <w:top w:w="0" w:type="dxa"/>
              <w:left w:w="45" w:type="dxa"/>
              <w:bottom w:w="0" w:type="dxa"/>
              <w:right w:w="45" w:type="dxa"/>
            </w:tcMar>
            <w:vAlign w:val="center"/>
            <w:hideMark/>
          </w:tcPr>
          <w:p w:rsidR="00810FE8" w:rsidRDefault="00810FE8" w:rsidP="00D4513C">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810FE8" w:rsidRDefault="00810FE8" w:rsidP="00D4513C">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810FE8" w:rsidRDefault="00810FE8" w:rsidP="00D4513C">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810FE8" w:rsidTr="00D4513C">
        <w:trPr>
          <w:trHeight w:val="141"/>
          <w:jc w:val="center"/>
        </w:trPr>
        <w:tc>
          <w:tcPr>
            <w:tcW w:w="873"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1.50%</w:t>
            </w:r>
          </w:p>
        </w:tc>
      </w:tr>
      <w:tr w:rsidR="00810FE8" w:rsidTr="00D4513C">
        <w:trPr>
          <w:trHeight w:val="202"/>
          <w:jc w:val="center"/>
        </w:trPr>
        <w:tc>
          <w:tcPr>
            <w:tcW w:w="873"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10FE8" w:rsidRDefault="00810FE8" w:rsidP="00D4513C">
            <w:pPr>
              <w:jc w:val="center"/>
              <w:rPr>
                <w:rFonts w:ascii="Arial" w:hAnsi="Arial" w:cs="Arial"/>
                <w:color w:val="000000"/>
                <w:sz w:val="20"/>
                <w:szCs w:val="20"/>
              </w:rPr>
            </w:pPr>
            <w:r>
              <w:rPr>
                <w:rFonts w:ascii="Arial" w:hAnsi="Arial" w:cs="Arial"/>
                <w:color w:val="000000"/>
                <w:sz w:val="20"/>
                <w:szCs w:val="20"/>
              </w:rPr>
              <w:t>1.50%</w:t>
            </w:r>
          </w:p>
        </w:tc>
      </w:tr>
    </w:tbl>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pStyle w:val="NormalWeb"/>
        <w:rPr>
          <w:rFonts w:ascii="Arial" w:hAnsi="Arial" w:cs="Arial"/>
          <w:b/>
          <w:color w:val="000000"/>
          <w:sz w:val="20"/>
          <w:szCs w:val="20"/>
        </w:rPr>
      </w:pPr>
      <w:bookmarkStart w:id="0" w:name="_GoBack"/>
      <w:bookmarkEnd w:id="0"/>
    </w:p>
    <w:p w:rsidR="00810FE8" w:rsidRDefault="00810FE8" w:rsidP="00810FE8">
      <w:r>
        <w:t>More details can be referred to in the below link.</w:t>
      </w:r>
    </w:p>
    <w:p w:rsidR="00810FE8" w:rsidRDefault="00810FE8" w:rsidP="00810FE8">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80" w:history="1">
        <w:r w:rsidRPr="006865D6">
          <w:rPr>
            <w:rStyle w:val="Hyperlink"/>
            <w:rFonts w:ascii="Arial" w:hAnsi="Arial" w:cs="Arial"/>
            <w:bCs/>
            <w:sz w:val="20"/>
            <w:szCs w:val="20"/>
          </w:rPr>
          <w:t>https://www.rbi.org.in/scripts/NotificationUser.aspx?Id=12411&amp;Mode=0</w:t>
        </w:r>
      </w:hyperlink>
    </w:p>
    <w:p w:rsidR="00810FE8" w:rsidRDefault="00810FE8" w:rsidP="00810FE8">
      <w:pPr>
        <w:pStyle w:val="NormalWeb"/>
        <w:rPr>
          <w:rFonts w:ascii="Arial" w:hAnsi="Arial" w:cs="Arial"/>
          <w:b/>
          <w:bCs/>
          <w:color w:val="000000"/>
          <w:sz w:val="20"/>
          <w:szCs w:val="20"/>
        </w:rPr>
      </w:pPr>
      <w:r>
        <w:rPr>
          <w:rFonts w:ascii="Arial" w:hAnsi="Arial" w:cs="Arial"/>
          <w:b/>
          <w:bCs/>
          <w:color w:val="000000"/>
          <w:sz w:val="20"/>
          <w:szCs w:val="20"/>
        </w:rPr>
        <w:lastRenderedPageBreak/>
        <w:t>Inclusion of Goods and Service Tax Network (GSTN) as a Financial Information Provider under Account Aggregator Framework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November 23,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81"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82" w:anchor="AN1" w:history="1">
        <w:r>
          <w:rPr>
            <w:rStyle w:val="Hyperlink"/>
            <w:rFonts w:ascii="Arial" w:hAnsi="Arial" w:cs="Arial"/>
            <w:sz w:val="20"/>
            <w:szCs w:val="20"/>
          </w:rPr>
          <w:t>Annex</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10FE8" w:rsidRDefault="00810FE8" w:rsidP="00810FE8">
      <w:pPr>
        <w:pStyle w:val="NormalWeb"/>
        <w:rPr>
          <w:rFonts w:ascii="Arial" w:hAnsi="Arial" w:cs="Arial"/>
          <w:b/>
          <w:color w:val="000000"/>
          <w:sz w:val="20"/>
          <w:szCs w:val="20"/>
        </w:rPr>
      </w:pPr>
    </w:p>
    <w:p w:rsidR="00810FE8" w:rsidRDefault="00810FE8" w:rsidP="00810FE8"/>
    <w:p w:rsidR="00810FE8" w:rsidRDefault="00810FE8" w:rsidP="00810FE8">
      <w:r>
        <w:t>More details can be referred to in the below link.</w:t>
      </w:r>
    </w:p>
    <w:p w:rsidR="00810FE8" w:rsidRDefault="00810FE8" w:rsidP="00810FE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3" w:history="1">
        <w:r w:rsidRPr="006865D6">
          <w:rPr>
            <w:rStyle w:val="Hyperlink"/>
            <w:rFonts w:ascii="Arial" w:hAnsi="Arial" w:cs="Arial"/>
            <w:bCs/>
            <w:sz w:val="20"/>
            <w:szCs w:val="20"/>
          </w:rPr>
          <w:t>https://www.rbi.org.in/scripts/NotificationUser.aspx?Id=12412&amp;Mode=0</w:t>
        </w:r>
      </w:hyperlink>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pStyle w:val="NormalWeb"/>
        <w:rPr>
          <w:rFonts w:ascii="Arial" w:hAnsi="Arial" w:cs="Arial"/>
          <w:bCs/>
          <w:color w:val="000000"/>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after="0"/>
        <w:rPr>
          <w:rFonts w:ascii="Arial" w:hAnsi="Arial" w:cs="Arial"/>
          <w:b/>
          <w:bCs/>
          <w:color w:val="000000"/>
          <w:sz w:val="20"/>
          <w:szCs w:val="20"/>
        </w:rPr>
      </w:pPr>
      <w:r>
        <w:rPr>
          <w:rFonts w:ascii="Arial" w:hAnsi="Arial" w:cs="Arial"/>
          <w:b/>
          <w:bCs/>
          <w:color w:val="000000"/>
          <w:sz w:val="20"/>
          <w:szCs w:val="20"/>
        </w:rPr>
        <w:lastRenderedPageBreak/>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810FE8" w:rsidRDefault="00810FE8" w:rsidP="00810FE8">
      <w:pPr>
        <w:spacing w:after="0"/>
        <w:rPr>
          <w:rFonts w:ascii="Arial" w:hAnsi="Arial" w:cs="Arial"/>
          <w:b/>
          <w:bCs/>
          <w:color w:val="000000"/>
          <w:sz w:val="20"/>
          <w:szCs w:val="20"/>
        </w:rPr>
      </w:pP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RBI/2022-23/145</w:t>
      </w:r>
      <w:r>
        <w:rPr>
          <w:rFonts w:ascii="Arial" w:hAnsi="Arial" w:cs="Arial"/>
          <w:color w:val="000000"/>
          <w:sz w:val="20"/>
          <w:szCs w:val="20"/>
        </w:rPr>
        <w:br/>
        <w:t>DOR.MRG.REC.87/00-00-020/2022-23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 2022</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As you are aware, Reserve Bank had vide </w:t>
      </w:r>
      <w:hyperlink r:id="rId84" w:tgtFrame="_blank" w:history="1">
        <w:r>
          <w:rPr>
            <w:rStyle w:val="Hyperlink"/>
            <w:rFonts w:ascii="Arial" w:hAnsi="Arial" w:cs="Arial"/>
            <w:sz w:val="20"/>
            <w:szCs w:val="20"/>
          </w:rPr>
          <w:t>circular DBOD.No.BP.BC.89/21.04.141/2008-09 dated December 1, 2008</w:t>
        </w:r>
      </w:hyperlink>
      <w:r>
        <w:rPr>
          <w:rFonts w:ascii="Arial" w:hAnsi="Arial" w:cs="Arial"/>
          <w:color w:val="000000"/>
          <w:sz w:val="20"/>
          <w:szCs w:val="20"/>
        </w:rPr>
        <w:t> and </w:t>
      </w:r>
      <w:hyperlink r:id="rId85" w:tgtFrame="_blank" w:history="1">
        <w:r>
          <w:rPr>
            <w:rStyle w:val="Hyperlink"/>
            <w:rFonts w:ascii="Arial" w:hAnsi="Arial" w:cs="Arial"/>
            <w:sz w:val="20"/>
            <w:szCs w:val="20"/>
          </w:rPr>
          <w:t>circular DBOD.No.BP.BC.111/21.04.157/2013-14 dated May 12, 2014</w:t>
        </w:r>
      </w:hyperlink>
      <w:r>
        <w:rPr>
          <w:rFonts w:ascii="Arial" w:hAnsi="Arial" w:cs="Arial"/>
          <w:color w:val="000000"/>
          <w:sz w:val="20"/>
          <w:szCs w:val="20"/>
        </w:rPr>
        <w:t xml:space="preserve"> issued instructions to Indian banks and AIFIs on the issue of dealing in financial products by their branches/subsidiaries operating outside India. On a review, it was felt that a framework needs to be in place to allow them to undertake activities which are not specifically permitted in the Indian domestic market and also to specify the applicability of these instructions to International Financial Services </w:t>
      </w:r>
      <w:proofErr w:type="spellStart"/>
      <w:r>
        <w:rPr>
          <w:rFonts w:ascii="Arial" w:hAnsi="Arial" w:cs="Arial"/>
          <w:color w:val="000000"/>
          <w:sz w:val="20"/>
          <w:szCs w:val="20"/>
        </w:rPr>
        <w:t>Centers</w:t>
      </w:r>
      <w:proofErr w:type="spellEnd"/>
      <w:r>
        <w:rPr>
          <w:rFonts w:ascii="Arial" w:hAnsi="Arial" w:cs="Arial"/>
          <w:color w:val="000000"/>
          <w:sz w:val="20"/>
          <w:szCs w:val="20"/>
        </w:rPr>
        <w:t xml:space="preserve"> (IFSCs) in India including Gujarat International Finance Tec-City (GIFT City).</w:t>
      </w:r>
    </w:p>
    <w:p w:rsidR="00810FE8"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1. Applicability and commencement</w:t>
      </w:r>
    </w:p>
    <w:p w:rsidR="00810FE8"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2. Dealing in financial products</w:t>
      </w:r>
    </w:p>
    <w:p w:rsidR="00810FE8"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3. Conditions for dealing in financial products</w:t>
      </w:r>
    </w:p>
    <w:p w:rsidR="00810FE8"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4. Compliance with prudential norms</w:t>
      </w:r>
    </w:p>
    <w:p w:rsidR="00810FE8"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5. Activities subject to Indian laws</w:t>
      </w:r>
    </w:p>
    <w:p w:rsidR="00810FE8" w:rsidRPr="002313C4" w:rsidRDefault="00810FE8" w:rsidP="00810FE8">
      <w:pPr>
        <w:pStyle w:val="head"/>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6. Repeal of earlier instructions</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Pr="00435B25" w:rsidRDefault="00810FE8" w:rsidP="00810FE8">
      <w:pPr>
        <w:spacing w:after="0"/>
        <w:rPr>
          <w:rFonts w:ascii="Arial" w:hAnsi="Arial" w:cs="Arial"/>
          <w:sz w:val="20"/>
          <w:szCs w:val="20"/>
        </w:rPr>
      </w:pPr>
      <w:r w:rsidRPr="00435B25">
        <w:rPr>
          <w:rFonts w:ascii="Arial" w:hAnsi="Arial" w:cs="Arial"/>
          <w:sz w:val="20"/>
          <w:szCs w:val="20"/>
        </w:rPr>
        <w:t>More details can be referred to in the below link.</w:t>
      </w:r>
    </w:p>
    <w:p w:rsidR="00810FE8" w:rsidRDefault="00810FE8" w:rsidP="00810FE8">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86" w:history="1">
        <w:r w:rsidRPr="00200311">
          <w:rPr>
            <w:rStyle w:val="Hyperlink"/>
            <w:rFonts w:ascii="Arial" w:hAnsi="Arial" w:cs="Arial"/>
            <w:sz w:val="20"/>
            <w:szCs w:val="20"/>
          </w:rPr>
          <w:t>https://m.rbi.org.in/scripts/FS_Notification.aspx?Id=12417&amp;fn=14&amp;Mode=0</w:t>
        </w:r>
      </w:hyperlink>
    </w:p>
    <w:p w:rsidR="00810FE8" w:rsidRDefault="00810FE8" w:rsidP="00810FE8">
      <w:pPr>
        <w:pStyle w:val="NormalWeb"/>
        <w:rPr>
          <w:rFonts w:ascii="Arial" w:hAnsi="Arial" w:cs="Arial"/>
          <w:b/>
          <w:color w:val="000000"/>
          <w:sz w:val="20"/>
          <w:szCs w:val="20"/>
        </w:rPr>
      </w:pPr>
    </w:p>
    <w:p w:rsidR="00810FE8" w:rsidRDefault="00810FE8" w:rsidP="00810FE8">
      <w:pPr>
        <w:pStyle w:val="NormalWeb"/>
        <w:rPr>
          <w:rFonts w:ascii="Arial" w:hAnsi="Arial" w:cs="Arial"/>
          <w:b/>
          <w:color w:val="000000"/>
          <w:sz w:val="20"/>
          <w:szCs w:val="20"/>
        </w:rPr>
      </w:pPr>
    </w:p>
    <w:p w:rsidR="00810FE8" w:rsidRDefault="00810FE8" w:rsidP="00810FE8">
      <w:pPr>
        <w:pStyle w:val="NormalWeb"/>
        <w:rPr>
          <w:rFonts w:ascii="Arial" w:hAnsi="Arial" w:cs="Arial"/>
          <w:b/>
          <w:color w:val="000000"/>
          <w:sz w:val="20"/>
          <w:szCs w:val="20"/>
        </w:rPr>
      </w:pPr>
    </w:p>
    <w:p w:rsidR="00810FE8" w:rsidRDefault="00810FE8" w:rsidP="00810FE8">
      <w:pPr>
        <w:pStyle w:val="NormalWeb"/>
        <w:rPr>
          <w:rFonts w:ascii="Arial" w:hAnsi="Arial" w:cs="Arial"/>
          <w:b/>
          <w:color w:val="000000"/>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b/>
          <w:bCs/>
          <w:color w:val="000000"/>
          <w:sz w:val="20"/>
          <w:szCs w:val="20"/>
        </w:rPr>
      </w:pPr>
      <w:r>
        <w:rPr>
          <w:rFonts w:ascii="Arial" w:hAnsi="Arial" w:cs="Arial"/>
          <w:b/>
          <w:bCs/>
          <w:color w:val="000000"/>
          <w:sz w:val="20"/>
          <w:szCs w:val="20"/>
        </w:rPr>
        <w:lastRenderedPageBreak/>
        <w:t>Revised Regulatory Framework for Urban Co-operative Banks (UCBs) – Net Worth and Capital Adequacy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RBI/2022-23/146</w:t>
      </w:r>
      <w:r>
        <w:rPr>
          <w:rFonts w:ascii="Arial" w:hAnsi="Arial" w:cs="Arial"/>
          <w:color w:val="000000"/>
          <w:sz w:val="20"/>
          <w:szCs w:val="20"/>
        </w:rPr>
        <w:br/>
        <w:t>DOR.CAP.REC.No.86/09.18.201/2022-23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Dear Sir/Madam,</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Revised Regulatory Framework for Urban Co-operative Banks (UCBs) emanating from the recommendations of Expert Committee on Urban Co-operative Banks (</w:t>
      </w:r>
      <w:hyperlink r:id="rId87" w:tgtFrame="_blank" w:history="1">
        <w:r>
          <w:rPr>
            <w:rStyle w:val="Hyperlink"/>
            <w:rFonts w:ascii="Arial" w:hAnsi="Arial" w:cs="Arial"/>
            <w:sz w:val="20"/>
            <w:szCs w:val="20"/>
          </w:rPr>
          <w:t>Press Release: 2022-2023/561 dated July 19, 2022</w:t>
        </w:r>
      </w:hyperlink>
      <w:r>
        <w:rPr>
          <w:rFonts w:ascii="Arial" w:hAnsi="Arial" w:cs="Arial"/>
          <w:color w:val="000000"/>
          <w:sz w:val="20"/>
          <w:szCs w:val="20"/>
        </w:rPr>
        <w:t>) and </w:t>
      </w:r>
      <w:hyperlink r:id="rId88" w:tgtFrame="_blank" w:history="1">
        <w:r>
          <w:rPr>
            <w:rStyle w:val="Hyperlink"/>
            <w:rFonts w:ascii="Arial" w:hAnsi="Arial" w:cs="Arial"/>
            <w:sz w:val="20"/>
            <w:szCs w:val="20"/>
          </w:rPr>
          <w:t>circular no. DOR.REG.No.84/07.01.000/2022-23 dated December 1, 2022</w:t>
        </w:r>
      </w:hyperlink>
      <w:r>
        <w:rPr>
          <w:rFonts w:ascii="Arial" w:hAnsi="Arial" w:cs="Arial"/>
          <w:color w:val="000000"/>
          <w:sz w:val="20"/>
          <w:szCs w:val="20"/>
        </w:rPr>
        <w:t>, on Revised Regulatory Framework - Categorization of Urban Co-operative Banks (UCBs) for Regulatory Purposes. The detailed guidelines are provided below:</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 Net Worth</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2. UCBs shall have minimum net worth as under:</w:t>
      </w:r>
    </w:p>
    <w:p w:rsidR="00810FE8" w:rsidRDefault="00810FE8" w:rsidP="00810FE8">
      <w:pPr>
        <w:pStyle w:val="NormalWeb"/>
        <w:numPr>
          <w:ilvl w:val="0"/>
          <w:numId w:val="32"/>
        </w:numPr>
        <w:spacing w:before="0" w:beforeAutospacing="0"/>
        <w:ind w:left="0"/>
        <w:jc w:val="both"/>
        <w:rPr>
          <w:rFonts w:ascii="Arial" w:hAnsi="Arial" w:cs="Arial"/>
          <w:color w:val="000000"/>
          <w:sz w:val="20"/>
          <w:szCs w:val="20"/>
        </w:rPr>
      </w:pPr>
      <w:r>
        <w:rPr>
          <w:rFonts w:ascii="Arial" w:hAnsi="Arial" w:cs="Arial"/>
          <w:color w:val="000000"/>
          <w:sz w:val="20"/>
          <w:szCs w:val="20"/>
        </w:rPr>
        <w:t xml:space="preserve">Tier 1 UCBs operating in a single district shall have minimum net worth of ₹2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810FE8" w:rsidRDefault="00810FE8" w:rsidP="00810FE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 xml:space="preserve">All other UCBs (of all tiers) shall have minimum net worth of ₹5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810FE8" w:rsidRDefault="00810FE8" w:rsidP="00810FE8">
      <w:pPr>
        <w:pStyle w:val="NormalWeb"/>
        <w:numPr>
          <w:ilvl w:val="0"/>
          <w:numId w:val="32"/>
        </w:numPr>
        <w:spacing w:after="0" w:afterAutospacing="0"/>
        <w:ind w:left="0"/>
        <w:jc w:val="both"/>
        <w:rPr>
          <w:rFonts w:ascii="Arial" w:hAnsi="Arial" w:cs="Arial"/>
          <w:color w:val="000000"/>
          <w:sz w:val="20"/>
          <w:szCs w:val="20"/>
        </w:rPr>
      </w:pPr>
      <w:r>
        <w:rPr>
          <w:rFonts w:ascii="Arial" w:hAnsi="Arial" w:cs="Arial"/>
          <w:color w:val="000000"/>
          <w:sz w:val="20"/>
          <w:szCs w:val="20"/>
        </w:rPr>
        <w:t xml:space="preserve">UCBs which currently do not meet the minimum net worth requirement, as above, shall achieve the minimum net worth of ₹2 crore or ₹5 </w:t>
      </w:r>
      <w:proofErr w:type="gramStart"/>
      <w:r>
        <w:rPr>
          <w:rFonts w:ascii="Arial" w:hAnsi="Arial" w:cs="Arial"/>
          <w:color w:val="000000"/>
          <w:sz w:val="20"/>
          <w:szCs w:val="20"/>
        </w:rPr>
        <w:t>crore</w:t>
      </w:r>
      <w:proofErr w:type="gramEnd"/>
      <w:r>
        <w:rPr>
          <w:rFonts w:ascii="Arial" w:hAnsi="Arial" w:cs="Arial"/>
          <w:color w:val="000000"/>
          <w:sz w:val="20"/>
          <w:szCs w:val="20"/>
        </w:rPr>
        <w:t xml:space="preserve"> (as applicable) in a phased manner. Such UCBs shall achieve at least 50 per cent of the applicable minimum net worth on or before March 31, 2026 and the entire stipulated minimum net worth on or before March 31, 2028.</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B. Minimum capital to risk weighted assets ratio (CRAR) requirement</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3. UCBs shall maintain minimum CRAR as under:</w:t>
      </w:r>
    </w:p>
    <w:p w:rsidR="00810FE8" w:rsidRDefault="00810FE8" w:rsidP="00810FE8">
      <w:pPr>
        <w:pStyle w:val="NormalWeb"/>
        <w:numPr>
          <w:ilvl w:val="0"/>
          <w:numId w:val="33"/>
        </w:numPr>
        <w:spacing w:before="0" w:beforeAutospacing="0"/>
        <w:ind w:left="0"/>
        <w:jc w:val="both"/>
        <w:rPr>
          <w:rFonts w:ascii="Arial" w:hAnsi="Arial" w:cs="Arial"/>
          <w:color w:val="000000"/>
          <w:sz w:val="20"/>
          <w:szCs w:val="20"/>
        </w:rPr>
      </w:pPr>
      <w:r>
        <w:rPr>
          <w:rFonts w:ascii="Arial" w:hAnsi="Arial" w:cs="Arial"/>
          <w:color w:val="000000"/>
          <w:sz w:val="20"/>
          <w:szCs w:val="20"/>
        </w:rPr>
        <w:t>Tier 1 UCBs shall maintain, as hitherto, a minimum CRAR of 9 per cent of Risk Weighted Assets (RWAs) on an ongoing basis.</w:t>
      </w:r>
    </w:p>
    <w:p w:rsidR="00810FE8" w:rsidRDefault="00810FE8" w:rsidP="00810FE8">
      <w:pPr>
        <w:pStyle w:val="NormalWeb"/>
        <w:numPr>
          <w:ilvl w:val="0"/>
          <w:numId w:val="33"/>
        </w:numPr>
        <w:ind w:left="0"/>
        <w:jc w:val="both"/>
        <w:rPr>
          <w:rFonts w:ascii="Arial" w:hAnsi="Arial" w:cs="Arial"/>
          <w:color w:val="000000"/>
          <w:sz w:val="20"/>
          <w:szCs w:val="20"/>
        </w:rPr>
      </w:pPr>
      <w:r>
        <w:rPr>
          <w:rFonts w:ascii="Arial" w:hAnsi="Arial" w:cs="Arial"/>
          <w:color w:val="000000"/>
          <w:sz w:val="20"/>
          <w:szCs w:val="20"/>
        </w:rPr>
        <w:t>Tier 2 to 4 UCBs shall maintain a minimum CRAR of 12 per cent of RWAs on an ongoing basis.</w:t>
      </w:r>
    </w:p>
    <w:p w:rsidR="00810FE8" w:rsidRDefault="00810FE8" w:rsidP="00810FE8">
      <w:pPr>
        <w:pStyle w:val="NormalWeb"/>
        <w:numPr>
          <w:ilvl w:val="0"/>
          <w:numId w:val="33"/>
        </w:numPr>
        <w:spacing w:after="0" w:afterAutospacing="0"/>
        <w:ind w:left="0"/>
        <w:jc w:val="both"/>
        <w:rPr>
          <w:rFonts w:ascii="Arial" w:hAnsi="Arial" w:cs="Arial"/>
          <w:color w:val="000000"/>
          <w:sz w:val="20"/>
          <w:szCs w:val="20"/>
        </w:rPr>
      </w:pPr>
      <w:r>
        <w:rPr>
          <w:rFonts w:ascii="Arial" w:hAnsi="Arial" w:cs="Arial"/>
          <w:color w:val="000000"/>
          <w:sz w:val="20"/>
          <w:szCs w:val="20"/>
        </w:rPr>
        <w:t>UCBs in Tier 2 to 4, which do not currently meet the revised CRAR of 12 per cent of RWAs, shall achieve the same in a phased manner. Such UCBs shall achieve the CRAR of at least 10 per cent by March 31, 2024, 11 per cent by March 31, 2025, and 12 per cent by March 31, 2026.</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C. Revaluation Reserves</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 xml:space="preserve">5. Revaluation reserves, arising out of change in the carrying amount of a bank’s property consequent upon its revaluation, may henceforth be reckoned as Tier 1 capital at a discount of 55 per cent. </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r>
        <w:t>More details can be referred to in the below link.</w:t>
      </w:r>
    </w:p>
    <w:p w:rsidR="00810FE8" w:rsidRDefault="00810FE8" w:rsidP="00810FE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9" w:anchor=":~:text=UCBs%20shall%20have%20minimum%20net,worth%20of%20%E2%82%B95%20crore" w:history="1">
        <w:r w:rsidRPr="00735218">
          <w:rPr>
            <w:rStyle w:val="Hyperlink"/>
            <w:rFonts w:ascii="Arial" w:hAnsi="Arial" w:cs="Arial"/>
            <w:bCs/>
            <w:sz w:val="20"/>
            <w:szCs w:val="20"/>
          </w:rPr>
          <w:t>https://m.rbi.org.in/scripts/FS_Notification.aspx?Id=12418&amp;fn=2755&amp;Mode=0#:~:text=UCBs%20shall%20have%20minimum%20net,worth%20of%20%E2%82%B95%20crore</w:t>
        </w:r>
      </w:hyperlink>
      <w:r w:rsidRPr="00587F28">
        <w:rPr>
          <w:rFonts w:ascii="Arial" w:hAnsi="Arial" w:cs="Arial"/>
          <w:bCs/>
          <w:color w:val="000000"/>
          <w:sz w:val="20"/>
          <w:szCs w:val="20"/>
        </w:rPr>
        <w:t>.</w:t>
      </w:r>
    </w:p>
    <w:p w:rsidR="00810FE8" w:rsidRDefault="00810FE8" w:rsidP="00810FE8">
      <w:pPr>
        <w:pStyle w:val="NormalWeb"/>
        <w:rPr>
          <w:rFonts w:ascii="Arial" w:hAnsi="Arial" w:cs="Arial"/>
          <w:b/>
          <w:bCs/>
          <w:color w:val="000000"/>
          <w:sz w:val="20"/>
          <w:szCs w:val="20"/>
        </w:rPr>
      </w:pPr>
      <w:r>
        <w:rPr>
          <w:rFonts w:ascii="Arial" w:hAnsi="Arial" w:cs="Arial"/>
          <w:b/>
          <w:bCs/>
          <w:color w:val="000000"/>
          <w:sz w:val="20"/>
          <w:szCs w:val="20"/>
        </w:rPr>
        <w:lastRenderedPageBreak/>
        <w:t>Review of SLR holdings in HTM category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RBI/2022-23/150</w:t>
      </w:r>
      <w:r>
        <w:rPr>
          <w:rFonts w:ascii="Arial" w:hAnsi="Arial" w:cs="Arial"/>
          <w:color w:val="000000"/>
          <w:sz w:val="20"/>
          <w:szCs w:val="20"/>
        </w:rPr>
        <w:br/>
        <w:t>DOR.MRG.REC.89/21.04.141/2022-23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8, 2022</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Review of SLR holdings in HTM category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paragraph 1 of </w:t>
      </w:r>
      <w:hyperlink r:id="rId90" w:tgtFrame="_blank" w:history="1">
        <w:r>
          <w:rPr>
            <w:rStyle w:val="Hyperlink"/>
            <w:rFonts w:ascii="Arial" w:hAnsi="Arial" w:cs="Arial"/>
            <w:sz w:val="20"/>
            <w:szCs w:val="20"/>
          </w:rPr>
          <w:t>Statement on Development and Regulatory Policies</w:t>
        </w:r>
      </w:hyperlink>
      <w:r>
        <w:rPr>
          <w:rFonts w:ascii="Arial" w:hAnsi="Arial" w:cs="Arial"/>
          <w:color w:val="000000"/>
          <w:sz w:val="20"/>
          <w:szCs w:val="20"/>
        </w:rPr>
        <w:t> of the </w:t>
      </w:r>
      <w:hyperlink r:id="rId91" w:tgtFrame="_blank" w:history="1">
        <w:r>
          <w:rPr>
            <w:rStyle w:val="Hyperlink"/>
            <w:rFonts w:ascii="Arial" w:hAnsi="Arial" w:cs="Arial"/>
            <w:sz w:val="20"/>
            <w:szCs w:val="20"/>
          </w:rPr>
          <w:t>Monetary Policy Statement, 2022-23 dated December 7, 2022</w:t>
        </w:r>
      </w:hyperlink>
      <w:r>
        <w:rPr>
          <w:rFonts w:ascii="Arial" w:hAnsi="Arial" w:cs="Arial"/>
          <w:color w:val="000000"/>
          <w:sz w:val="20"/>
          <w:szCs w:val="20"/>
        </w:rPr>
        <w:t> and Section 6(iv)(a) of </w:t>
      </w:r>
      <w:hyperlink r:id="rId92" w:tgtFrame="_blank" w:history="1">
        <w:r>
          <w:rPr>
            <w:rStyle w:val="Hyperlink"/>
            <w:rFonts w:ascii="Arial" w:hAnsi="Arial" w:cs="Arial"/>
            <w:sz w:val="20"/>
            <w:szCs w:val="20"/>
          </w:rPr>
          <w:t>Master Direction - Classification, Valuation and Operation of Investment Portfolio of Commercial Banks (Directions), 2021 dated August 25, 2021</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At present, banks have been granted a special dispensation of enhanced Held to Maturity (HTM) limit of 23 per cent of Net Demand and Time Liabilities (NDTL), for Statutory Liquidity Ratio (SLR) eligible securities acquired between September 1, 2020 and March 31, 2023, until March 31, 2023.</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 xml:space="preserve">3. On a review, it has been decided to further extend the dispensation of enhanced HTM limit of 23 per cent of NDTL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March 31, 2024 and allow banks to include securities acquired between September 1, 2020 and March 31, 2024 under the enhanced limit of 23 per cent.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4. The enhanced HTM limit of 23 per cent shall be restored to 19.5 percent in a phased manner, beginning from the quarter ending June 30, 2024, i.e., the excess SLR securities acquired by banks during the period September 1, 2020 to March 31, 2024 shall be progressively reduced such that the total SLR securities held in the HTM category as a percentage of the NDTL do not exceed:</w:t>
      </w:r>
    </w:p>
    <w:p w:rsidR="00810FE8" w:rsidRDefault="00810FE8" w:rsidP="00810FE8">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22.00 per cent as on June 30, 2024</w:t>
      </w:r>
    </w:p>
    <w:p w:rsidR="00810FE8" w:rsidRDefault="00810FE8" w:rsidP="00810FE8">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21.00 per cent as on September 30, 2024</w:t>
      </w:r>
    </w:p>
    <w:p w:rsidR="00810FE8" w:rsidRDefault="00810FE8" w:rsidP="00810FE8">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20.00 per cent as on December 31, 2024</w:t>
      </w:r>
    </w:p>
    <w:p w:rsidR="00810FE8" w:rsidRDefault="00810FE8" w:rsidP="00810FE8">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19.50 per cent as on March 31, 2025</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All other instructions shall remain unchanged.</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5. The relevant sections of the Master Direction are being amended to reflect the aforementioned changes.</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6. This circular is applicable to all Commercial Banks.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7. These instructions shall come into force with immediate effect.</w:t>
      </w:r>
    </w:p>
    <w:p w:rsidR="00810FE8" w:rsidRDefault="00810FE8" w:rsidP="00810FE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r w:rsidRPr="00435B25">
        <w:rPr>
          <w:rFonts w:ascii="Arial" w:hAnsi="Arial" w:cs="Arial"/>
          <w:sz w:val="20"/>
          <w:szCs w:val="20"/>
        </w:rPr>
        <w:t>More details can be referred to in the below link.</w:t>
      </w:r>
    </w:p>
    <w:p w:rsidR="00810FE8" w:rsidRDefault="00810FE8" w:rsidP="00810FE8">
      <w:pPr>
        <w:spacing w:line="259" w:lineRule="auto"/>
        <w:rPr>
          <w:rStyle w:val="Hyperlink"/>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93" w:anchor=":~:text=Review%20of%20SLR%20holdings%20in%20HTM%20category&amp;text=3.,4" w:history="1">
        <w:r w:rsidRPr="006865D6">
          <w:rPr>
            <w:rStyle w:val="Hyperlink"/>
            <w:rFonts w:ascii="Arial" w:hAnsi="Arial" w:cs="Arial"/>
            <w:sz w:val="20"/>
            <w:szCs w:val="20"/>
          </w:rPr>
          <w:t>https://www.rbi.org.in/scripts/FS_Notification.aspx?Id=12422&amp;fn=2&amp;Mode=0#:~:text=Review%20of%20SLR%20holdings%20in%20HTM%20category&amp;text=3.,4</w:t>
        </w:r>
      </w:hyperlink>
    </w:p>
    <w:p w:rsidR="00810FE8" w:rsidRDefault="00810FE8" w:rsidP="00810FE8">
      <w:pPr>
        <w:spacing w:line="259" w:lineRule="auto"/>
        <w:rPr>
          <w:rStyle w:val="Hyperlink"/>
          <w:rFonts w:ascii="Arial" w:hAnsi="Arial" w:cs="Arial"/>
          <w:sz w:val="20"/>
          <w:szCs w:val="20"/>
        </w:rPr>
      </w:pPr>
    </w:p>
    <w:p w:rsidR="00810FE8" w:rsidRDefault="00810FE8" w:rsidP="00810FE8">
      <w:pPr>
        <w:spacing w:after="0"/>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 and other Regulatory Measures</w:t>
      </w:r>
    </w:p>
    <w:p w:rsidR="00810FE8" w:rsidRDefault="00810FE8" w:rsidP="00810FE8">
      <w:pPr>
        <w:spacing w:after="0"/>
        <w:rPr>
          <w:rFonts w:ascii="Arial" w:hAnsi="Arial" w:cs="Arial"/>
          <w:b/>
          <w:bCs/>
          <w:color w:val="000000"/>
          <w:sz w:val="20"/>
          <w:szCs w:val="20"/>
        </w:rPr>
      </w:pP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13, 2022</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94"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p>
    <w:p w:rsidR="00810FE8" w:rsidRDefault="00810FE8" w:rsidP="00810FE8">
      <w:pPr>
        <w:spacing w:after="0"/>
        <w:rPr>
          <w:rFonts w:ascii="Arial" w:hAnsi="Arial" w:cs="Arial"/>
          <w:sz w:val="20"/>
          <w:szCs w:val="20"/>
        </w:rPr>
      </w:pPr>
      <w:r w:rsidRPr="00435B25">
        <w:rPr>
          <w:rFonts w:ascii="Arial" w:hAnsi="Arial" w:cs="Arial"/>
          <w:sz w:val="20"/>
          <w:szCs w:val="20"/>
        </w:rPr>
        <w:t>More details can be referred to in the below link.</w:t>
      </w:r>
    </w:p>
    <w:p w:rsidR="00810FE8" w:rsidRDefault="00810FE8" w:rsidP="00810FE8">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95" w:history="1">
        <w:r w:rsidRPr="006865D6">
          <w:rPr>
            <w:rStyle w:val="Hyperlink"/>
            <w:rFonts w:ascii="Arial" w:hAnsi="Arial" w:cs="Arial"/>
            <w:sz w:val="20"/>
            <w:szCs w:val="20"/>
          </w:rPr>
          <w:t>https://m.rbi.org.in/scripts/BS_CircularIndexDisplay.aspx?Id=12425</w:t>
        </w:r>
      </w:hyperlink>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after="0"/>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 Disclosure of material items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RBI/2022-23/155</w:t>
      </w:r>
      <w:r>
        <w:rPr>
          <w:rFonts w:ascii="Arial" w:hAnsi="Arial" w:cs="Arial"/>
          <w:color w:val="000000"/>
          <w:sz w:val="20"/>
          <w:szCs w:val="20"/>
        </w:rPr>
        <w:br/>
        <w:t>DOR.ACC.REC.No.91/21.04.018/2022-23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13,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notes and instructions for compilation of Balance Sheet and Profit and Loss Account, for commercial banks, as specified in Annexure II to the </w:t>
      </w:r>
      <w:hyperlink r:id="rId96"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(hereinafter referred to as “Directions”).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In terms of Part A of Annexure II to the Directions, in case any item under the subhead “Miscellaneous Income” under the head “Schedule 14-Other Income” exceeds one per cent of total income, particulars shall be given in the notes to accounts. Similar instructions exist in case of subhead “Other expenditure” under the head “Schedule 16-Operating Expenses”.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In order to ensure greater transparency, it has been decided that banks shall also disclose the particulars of all such items in the notes to accounts wherever any item under the Schedule 5(IV)-Other Liabilities and Provisions</w:t>
      </w:r>
      <w:proofErr w:type="gramStart"/>
      <w:r>
        <w:rPr>
          <w:rFonts w:ascii="Arial" w:hAnsi="Arial" w:cs="Arial"/>
          <w:color w:val="000000"/>
          <w:sz w:val="20"/>
          <w:szCs w:val="20"/>
        </w:rPr>
        <w:t>-“</w:t>
      </w:r>
      <w:proofErr w:type="gramEnd"/>
      <w:r>
        <w:rPr>
          <w:rFonts w:ascii="Arial" w:hAnsi="Arial" w:cs="Arial"/>
          <w:color w:val="000000"/>
          <w:sz w:val="20"/>
          <w:szCs w:val="20"/>
        </w:rPr>
        <w:t>Others (including provisions)” or Schedule 11(VI)-Other Assets-“Others” exceeds one per cent of the total assets.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4. Further, Payments Banks shall also disclose particulars of all such items in the notes to accounts, wherever any item under the Schedule 14(I)-Other Income</w:t>
      </w:r>
      <w:proofErr w:type="gramStart"/>
      <w:r>
        <w:rPr>
          <w:rFonts w:ascii="Arial" w:hAnsi="Arial" w:cs="Arial"/>
          <w:color w:val="000000"/>
          <w:sz w:val="20"/>
          <w:szCs w:val="20"/>
        </w:rPr>
        <w:t>-“</w:t>
      </w:r>
      <w:proofErr w:type="gramEnd"/>
      <w:r>
        <w:rPr>
          <w:rFonts w:ascii="Arial" w:hAnsi="Arial" w:cs="Arial"/>
          <w:color w:val="000000"/>
          <w:sz w:val="20"/>
          <w:szCs w:val="20"/>
        </w:rPr>
        <w:t>Commission, Exchange and Brokerage” exceeds one per cent of the total income.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5. We also invite attention to Clause 6 of the Chapter IV of the Directions ibid, in terms of which more comprehensive disclosures than the minimum required are encouraged, especially if such disclosures significantly aid in the understanding of the financial position and performance of banks.</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6. These instructions are applicable to all commercial banks. These instructions shall come into effect for disclosures in the notes to the annual financial statements for the year ending March 31, 2023 and onwards.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7. The </w:t>
      </w:r>
      <w:hyperlink r:id="rId97"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shall stand updated to reflect these changes.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Pr="00230EAC" w:rsidRDefault="00810FE8" w:rsidP="00810FE8">
      <w:pPr>
        <w:spacing w:after="0"/>
      </w:pPr>
    </w:p>
    <w:p w:rsidR="00810FE8" w:rsidRDefault="00810FE8" w:rsidP="00810FE8">
      <w:r>
        <w:t>More details can be referred to in the below link.</w:t>
      </w:r>
    </w:p>
    <w:p w:rsidR="00810FE8" w:rsidRDefault="00810FE8" w:rsidP="00810FE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98" w:history="1">
        <w:r w:rsidRPr="00B27270">
          <w:rPr>
            <w:rStyle w:val="Hyperlink"/>
            <w:rFonts w:ascii="Arial" w:hAnsi="Arial" w:cs="Arial"/>
            <w:bCs/>
            <w:sz w:val="20"/>
            <w:szCs w:val="20"/>
          </w:rPr>
          <w:t>https://rbi.org.in/Scripts/NotificationUser.aspx?Id=12426&amp;Mode=0</w:t>
        </w:r>
      </w:hyperlink>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26, 2022</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 / Dear 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99"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100"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101" w:anchor="AN1" w:history="1">
        <w:r>
          <w:rPr>
            <w:rStyle w:val="Hyperlink"/>
            <w:rFonts w:ascii="Arial" w:hAnsi="Arial" w:cs="Arial"/>
            <w:sz w:val="20"/>
            <w:szCs w:val="20"/>
          </w:rPr>
          <w:t>Annex</w:t>
        </w:r>
      </w:hyperlink>
      <w:r>
        <w:rPr>
          <w:rFonts w:ascii="Arial" w:hAnsi="Arial" w:cs="Arial"/>
          <w:color w:val="000000"/>
          <w:sz w:val="20"/>
          <w:szCs w:val="20"/>
        </w:rPr>
        <w:t>.</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Default="00810FE8" w:rsidP="00810FE8">
      <w:pPr>
        <w:spacing w:line="259" w:lineRule="auto"/>
        <w:rPr>
          <w:rFonts w:ascii="Arial" w:hAnsi="Arial" w:cs="Arial"/>
          <w:sz w:val="20"/>
          <w:szCs w:val="20"/>
        </w:rPr>
      </w:pPr>
    </w:p>
    <w:p w:rsidR="00810FE8" w:rsidRDefault="00810FE8" w:rsidP="00810FE8">
      <w:pPr>
        <w:spacing w:line="259" w:lineRule="auto"/>
        <w:rPr>
          <w:rFonts w:ascii="Arial" w:hAnsi="Arial" w:cs="Arial"/>
          <w:sz w:val="20"/>
          <w:szCs w:val="20"/>
        </w:rPr>
      </w:pPr>
    </w:p>
    <w:p w:rsidR="00810FE8" w:rsidRDefault="00810FE8" w:rsidP="00810FE8">
      <w:r>
        <w:t>More details can be referred to in the below link.</w:t>
      </w:r>
    </w:p>
    <w:p w:rsidR="00810FE8" w:rsidRDefault="00810FE8" w:rsidP="00810FE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02" w:history="1">
        <w:r w:rsidRPr="00B27270">
          <w:rPr>
            <w:rStyle w:val="Hyperlink"/>
            <w:rFonts w:ascii="Arial" w:hAnsi="Arial" w:cs="Arial"/>
            <w:bCs/>
            <w:sz w:val="20"/>
            <w:szCs w:val="20"/>
          </w:rPr>
          <w:t>https://m.rbi.org.in/scripts/FS_Notification.aspx?Id=12431&amp;fn=9&amp;Mode=0</w:t>
        </w:r>
      </w:hyperlink>
    </w:p>
    <w:p w:rsidR="00810FE8" w:rsidRDefault="00810FE8" w:rsidP="00810FE8">
      <w:pPr>
        <w:spacing w:line="259" w:lineRule="auto"/>
        <w:rPr>
          <w:rFonts w:ascii="Arial" w:hAnsi="Arial" w:cs="Arial"/>
          <w:sz w:val="20"/>
          <w:szCs w:val="20"/>
        </w:rPr>
      </w:pPr>
    </w:p>
    <w:sectPr w:rsidR="0081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8"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7"/>
  </w:num>
  <w:num w:numId="7">
    <w:abstractNumId w:val="22"/>
  </w:num>
  <w:num w:numId="8">
    <w:abstractNumId w:val="2"/>
  </w:num>
  <w:num w:numId="9">
    <w:abstractNumId w:val="1"/>
  </w:num>
  <w:num w:numId="10">
    <w:abstractNumId w:val="16"/>
  </w:num>
  <w:num w:numId="11">
    <w:abstractNumId w:val="14"/>
  </w:num>
  <w:num w:numId="12">
    <w:abstractNumId w:val="3"/>
  </w:num>
  <w:num w:numId="13">
    <w:abstractNumId w:val="13"/>
  </w:num>
  <w:num w:numId="14">
    <w:abstractNumId w:val="21"/>
  </w:num>
  <w:num w:numId="15">
    <w:abstractNumId w:val="29"/>
  </w:num>
  <w:num w:numId="16">
    <w:abstractNumId w:val="5"/>
  </w:num>
  <w:num w:numId="17">
    <w:abstractNumId w:val="18"/>
  </w:num>
  <w:num w:numId="18">
    <w:abstractNumId w:val="12"/>
  </w:num>
  <w:num w:numId="19">
    <w:abstractNumId w:val="11"/>
  </w:num>
  <w:num w:numId="20">
    <w:abstractNumId w:val="17"/>
  </w:num>
  <w:num w:numId="21">
    <w:abstractNumId w:val="10"/>
  </w:num>
  <w:num w:numId="22">
    <w:abstractNumId w:val="26"/>
  </w:num>
  <w:num w:numId="23">
    <w:abstractNumId w:val="8"/>
  </w:num>
  <w:num w:numId="24">
    <w:abstractNumId w:val="15"/>
  </w:num>
  <w:num w:numId="25">
    <w:abstractNumId w:val="7"/>
  </w:num>
  <w:num w:numId="26">
    <w:abstractNumId w:val="23"/>
  </w:num>
  <w:num w:numId="27">
    <w:abstractNumId w:val="6"/>
  </w:num>
  <w:num w:numId="28">
    <w:abstractNumId w:val="20"/>
  </w:num>
  <w:num w:numId="29">
    <w:abstractNumId w:val="9"/>
  </w:num>
  <w:num w:numId="30">
    <w:abstractNumId w:val="0"/>
  </w:num>
  <w:num w:numId="31">
    <w:abstractNumId w:val="3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2D338D"/>
    <w:rsid w:val="00355D74"/>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10FE8"/>
    <w:rsid w:val="008462A3"/>
    <w:rsid w:val="0085415B"/>
    <w:rsid w:val="00912551"/>
    <w:rsid w:val="009126BF"/>
    <w:rsid w:val="009A3EA3"/>
    <w:rsid w:val="009B54D0"/>
    <w:rsid w:val="009F305B"/>
    <w:rsid w:val="00A32EAB"/>
    <w:rsid w:val="00A410BB"/>
    <w:rsid w:val="00A76041"/>
    <w:rsid w:val="00B1420D"/>
    <w:rsid w:val="00B46998"/>
    <w:rsid w:val="00B71788"/>
    <w:rsid w:val="00BF2165"/>
    <w:rsid w:val="00C10ACA"/>
    <w:rsid w:val="00C754F7"/>
    <w:rsid w:val="00C8671B"/>
    <w:rsid w:val="00C93B49"/>
    <w:rsid w:val="00CE14AF"/>
    <w:rsid w:val="00CF0868"/>
    <w:rsid w:val="00CF340B"/>
    <w:rsid w:val="00D46302"/>
    <w:rsid w:val="00D46755"/>
    <w:rsid w:val="00DB76CD"/>
    <w:rsid w:val="00DE227F"/>
    <w:rsid w:val="00DE6119"/>
    <w:rsid w:val="00E0459A"/>
    <w:rsid w:val="00EC5CE1"/>
    <w:rsid w:val="00EC7DEE"/>
    <w:rsid w:val="00F606C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CCFB"/>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59540153">
      <w:bodyDiv w:val="1"/>
      <w:marLeft w:val="0"/>
      <w:marRight w:val="0"/>
      <w:marTop w:val="0"/>
      <w:marBottom w:val="0"/>
      <w:divBdr>
        <w:top w:val="none" w:sz="0" w:space="0" w:color="auto"/>
        <w:left w:val="none" w:sz="0" w:space="0" w:color="auto"/>
        <w:bottom w:val="none" w:sz="0" w:space="0" w:color="auto"/>
        <w:right w:val="none" w:sz="0" w:space="0" w:color="auto"/>
      </w:divBdr>
    </w:div>
    <w:div w:id="159807978">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4021">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175459043">
      <w:bodyDiv w:val="1"/>
      <w:marLeft w:val="0"/>
      <w:marRight w:val="0"/>
      <w:marTop w:val="0"/>
      <w:marBottom w:val="0"/>
      <w:divBdr>
        <w:top w:val="none" w:sz="0" w:space="0" w:color="auto"/>
        <w:left w:val="none" w:sz="0" w:space="0" w:color="auto"/>
        <w:bottom w:val="none" w:sz="0" w:space="0" w:color="auto"/>
        <w:right w:val="none" w:sz="0" w:space="0" w:color="auto"/>
      </w:divBdr>
    </w:div>
    <w:div w:id="194656570">
      <w:bodyDiv w:val="1"/>
      <w:marLeft w:val="0"/>
      <w:marRight w:val="0"/>
      <w:marTop w:val="0"/>
      <w:marBottom w:val="0"/>
      <w:divBdr>
        <w:top w:val="none" w:sz="0" w:space="0" w:color="auto"/>
        <w:left w:val="none" w:sz="0" w:space="0" w:color="auto"/>
        <w:bottom w:val="none" w:sz="0" w:space="0" w:color="auto"/>
        <w:right w:val="none" w:sz="0" w:space="0" w:color="auto"/>
      </w:divBdr>
    </w:div>
    <w:div w:id="21150173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4586553">
      <w:bodyDiv w:val="1"/>
      <w:marLeft w:val="0"/>
      <w:marRight w:val="0"/>
      <w:marTop w:val="0"/>
      <w:marBottom w:val="0"/>
      <w:divBdr>
        <w:top w:val="none" w:sz="0" w:space="0" w:color="auto"/>
        <w:left w:val="none" w:sz="0" w:space="0" w:color="auto"/>
        <w:bottom w:val="none" w:sz="0" w:space="0" w:color="auto"/>
        <w:right w:val="none" w:sz="0" w:space="0" w:color="auto"/>
      </w:divBdr>
    </w:div>
    <w:div w:id="21686782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668761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397286105">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1577190">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4590311">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04924164">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54203680">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2362212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78971806">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8554958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51681494">
      <w:bodyDiv w:val="1"/>
      <w:marLeft w:val="0"/>
      <w:marRight w:val="0"/>
      <w:marTop w:val="0"/>
      <w:marBottom w:val="0"/>
      <w:divBdr>
        <w:top w:val="none" w:sz="0" w:space="0" w:color="auto"/>
        <w:left w:val="none" w:sz="0" w:space="0" w:color="auto"/>
        <w:bottom w:val="none" w:sz="0" w:space="0" w:color="auto"/>
        <w:right w:val="none" w:sz="0" w:space="0" w:color="auto"/>
      </w:divBdr>
    </w:div>
    <w:div w:id="118000734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919307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27394148">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3172583">
      <w:bodyDiv w:val="1"/>
      <w:marLeft w:val="0"/>
      <w:marRight w:val="0"/>
      <w:marTop w:val="0"/>
      <w:marBottom w:val="0"/>
      <w:divBdr>
        <w:top w:val="none" w:sz="0" w:space="0" w:color="auto"/>
        <w:left w:val="none" w:sz="0" w:space="0" w:color="auto"/>
        <w:bottom w:val="none" w:sz="0" w:space="0" w:color="auto"/>
        <w:right w:val="none" w:sz="0" w:space="0" w:color="auto"/>
      </w:divBdr>
    </w:div>
    <w:div w:id="136552170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7690000">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4751245">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2222878">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1270718">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83988048">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90665422">
      <w:bodyDiv w:val="1"/>
      <w:marLeft w:val="0"/>
      <w:marRight w:val="0"/>
      <w:marTop w:val="0"/>
      <w:marBottom w:val="0"/>
      <w:divBdr>
        <w:top w:val="none" w:sz="0" w:space="0" w:color="auto"/>
        <w:left w:val="none" w:sz="0" w:space="0" w:color="auto"/>
        <w:bottom w:val="none" w:sz="0" w:space="0" w:color="auto"/>
        <w:right w:val="none" w:sz="0" w:space="0" w:color="auto"/>
      </w:divBdr>
    </w:div>
    <w:div w:id="199271221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86144684">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16434808">
      <w:bodyDiv w:val="1"/>
      <w:marLeft w:val="0"/>
      <w:marRight w:val="0"/>
      <w:marTop w:val="0"/>
      <w:marBottom w:val="0"/>
      <w:divBdr>
        <w:top w:val="none" w:sz="0" w:space="0" w:color="auto"/>
        <w:left w:val="none" w:sz="0" w:space="0" w:color="auto"/>
        <w:bottom w:val="none" w:sz="0" w:space="0" w:color="auto"/>
        <w:right w:val="none" w:sz="0" w:space="0" w:color="auto"/>
      </w:divBdr>
    </w:div>
    <w:div w:id="2143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rbi.org.in/scripts/BS_ViewMasCirculardetails.aspx?id=12367" TargetMode="External"/><Relationship Id="rId21" Type="http://schemas.openxmlformats.org/officeDocument/2006/relationships/hyperlink" Target="https://www.rbi.org.in/scripts/NotificationUser.aspx?Id=12365&amp;Mode=0" TargetMode="External"/><Relationship Id="rId42" Type="http://schemas.openxmlformats.org/officeDocument/2006/relationships/hyperlink" Target="https://www.rbi.org.in/scripts/NotificationUser.aspx?Id=12381&amp;Mode=0" TargetMode="External"/><Relationship Id="rId47" Type="http://schemas.openxmlformats.org/officeDocument/2006/relationships/hyperlink" Target="https://www.rbi.org.in/Scripts/NotificationUser.aspx?Id=10233&amp;Mode=0" TargetMode="External"/><Relationship Id="rId63" Type="http://schemas.openxmlformats.org/officeDocument/2006/relationships/hyperlink" Target="https://www.rbi.org.in/Scripts/NotificationUser.aspx?Id=12395&amp;Mode=0" TargetMode="External"/><Relationship Id="rId68" Type="http://schemas.openxmlformats.org/officeDocument/2006/relationships/hyperlink" Target="https://m.rbi.org.in/Scripts/BS_CircularIndexDisplay.aspx?Id=12399" TargetMode="External"/><Relationship Id="rId84" Type="http://schemas.openxmlformats.org/officeDocument/2006/relationships/hyperlink" Target="https://m.rbi.org.in/Scripts/NotificationUser.aspx?Id=4676&amp;Mode=0" TargetMode="External"/><Relationship Id="rId89" Type="http://schemas.openxmlformats.org/officeDocument/2006/relationships/hyperlink" Target="https://m.rbi.org.in/scripts/FS_Notification.aspx?Id=12418&amp;fn=2755&amp;Mode=0" TargetMode="External"/><Relationship Id="rId16" Type="http://schemas.openxmlformats.org/officeDocument/2006/relationships/hyperlink" Target="https://rbi.org.in/scripts/FS_Notification.aspx?Id=12355&amp;fn=6&amp;Mode=0" TargetMode="External"/><Relationship Id="rId11" Type="http://schemas.openxmlformats.org/officeDocument/2006/relationships/hyperlink" Target="https://rbi.org.in/Scripts/NotificationUser.aspx?Id=12350&amp;Mode=0" TargetMode="External"/><Relationship Id="rId32" Type="http://schemas.openxmlformats.org/officeDocument/2006/relationships/hyperlink" Target="https://www.rbi.org.in/Scripts/BS_ViewMasDirections.aspx?id=12256" TargetMode="External"/><Relationship Id="rId37" Type="http://schemas.openxmlformats.org/officeDocument/2006/relationships/hyperlink" Target="https://www.rbi.org.in/scripts/NotificationUser.aspx?Id=12380&amp;Mode=0" TargetMode="External"/><Relationship Id="rId53" Type="http://schemas.openxmlformats.org/officeDocument/2006/relationships/hyperlink" Target="https://rbi.org.in/Scripts/NotificationUser.aspx?Id=12389&amp;Mode=0" TargetMode="External"/><Relationship Id="rId58" Type="http://schemas.openxmlformats.org/officeDocument/2006/relationships/hyperlink" Target="https://www.rbi.org.in/Scripts/BS_ViewMasDirections.aspx?id=10202" TargetMode="External"/><Relationship Id="rId74" Type="http://schemas.openxmlformats.org/officeDocument/2006/relationships/hyperlink" Target="https://www.rbi.org.in/scripts/FS_Notification.aspx?Id=12401&amp;fn=2&amp;Mode=0" TargetMode="External"/><Relationship Id="rId79" Type="http://schemas.openxmlformats.org/officeDocument/2006/relationships/hyperlink" Target="https://www.rbi.org.in/Scripts/NotificationUser.aspx?Id=12302&amp;Mode=0" TargetMode="External"/><Relationship Id="rId102" Type="http://schemas.openxmlformats.org/officeDocument/2006/relationships/hyperlink" Target="https://m.rbi.org.in/scripts/FS_Notification.aspx?Id=12431&amp;fn=9&amp;Mode=0" TargetMode="External"/><Relationship Id="rId5" Type="http://schemas.openxmlformats.org/officeDocument/2006/relationships/webSettings" Target="webSettings.xml"/><Relationship Id="rId90" Type="http://schemas.openxmlformats.org/officeDocument/2006/relationships/hyperlink" Target="https://rbi.org.in/Scripts/BS_PressReleaseDisplay.aspx?prid=54819" TargetMode="External"/><Relationship Id="rId95" Type="http://schemas.openxmlformats.org/officeDocument/2006/relationships/hyperlink" Target="https://m.rbi.org.in/scripts/BS_CircularIndexDisplay.aspx?Id=12425" TargetMode="External"/><Relationship Id="rId22" Type="http://schemas.openxmlformats.org/officeDocument/2006/relationships/hyperlink" Target="https://rbi.org.in/Scripts/BS_ViewMasDirections.aspx?id=11510" TargetMode="External"/><Relationship Id="rId27" Type="http://schemas.openxmlformats.org/officeDocument/2006/relationships/hyperlink" Target="https://m.rbi.org.in/scripts/BS_ViewMasCirculardetails.aspx?id=12367" TargetMode="External"/><Relationship Id="rId43" Type="http://schemas.openxmlformats.org/officeDocument/2006/relationships/hyperlink" Target="https://www.rbi.org.in/Scripts/BS_PressReleaseDisplay.aspx?prid=54187" TargetMode="External"/><Relationship Id="rId48" Type="http://schemas.openxmlformats.org/officeDocument/2006/relationships/hyperlink" Target="https://www.rbi.org.in/Scripts/NotificationUser.aspx?Id=11560&amp;Mode=0" TargetMode="External"/><Relationship Id="rId64" Type="http://schemas.openxmlformats.org/officeDocument/2006/relationships/hyperlink" Target="https://www.rbi.org.in/Scripts/BS_ViewMasCirculardetails.aspx?id=12278" TargetMode="External"/><Relationship Id="rId69" Type="http://schemas.openxmlformats.org/officeDocument/2006/relationships/hyperlink" Target="https://m.rbi.org.in/Scripts/BS_CircularIndexDisplay.aspx?Id=12399" TargetMode="External"/><Relationship Id="rId80" Type="http://schemas.openxmlformats.org/officeDocument/2006/relationships/hyperlink" Target="https://www.rbi.org.in/scripts/NotificationUser.aspx?Id=12411&amp;Mode=0" TargetMode="External"/><Relationship Id="rId85" Type="http://schemas.openxmlformats.org/officeDocument/2006/relationships/hyperlink" Target="https://m.rbi.org.in/Scripts/NotificationUser.aspx?Id=8874&amp;Mode=0" TargetMode="External"/><Relationship Id="rId12" Type="http://schemas.openxmlformats.org/officeDocument/2006/relationships/hyperlink" Target="https://www.rbi.org.in/scripts/NotificationUser.aspx?Id=12351&amp;Mode=0" TargetMode="External"/><Relationship Id="rId17" Type="http://schemas.openxmlformats.org/officeDocument/2006/relationships/hyperlink" Target="https://www.rbi.org.in/Scripts/BS_ViewMasCirculardetails.aspx?id=12288" TargetMode="External"/><Relationship Id="rId25" Type="http://schemas.openxmlformats.org/officeDocument/2006/relationships/hyperlink" Target="https://www.rbi.org.in/Scripts/NotificationUser.aspx?Id=12366&amp;Mode=0" TargetMode="External"/><Relationship Id="rId33" Type="http://schemas.openxmlformats.org/officeDocument/2006/relationships/hyperlink" Target="https://rbi.org.in/scripts/FS_Notification.aspx?Id=12378&amp;fn=2&amp;Mode=0" TargetMode="External"/><Relationship Id="rId38" Type="http://schemas.openxmlformats.org/officeDocument/2006/relationships/hyperlink" Target="https://rbidocs.rbi.org.in/rdocs/content/pdfs/GazetteRules23082022.pdf" TargetMode="External"/><Relationship Id="rId46" Type="http://schemas.openxmlformats.org/officeDocument/2006/relationships/hyperlink" Target="https://rbi.org.in/Scripts/BS_CircularIndexDisplay.aspx?Id=12382" TargetMode="External"/><Relationship Id="rId59" Type="http://schemas.openxmlformats.org/officeDocument/2006/relationships/hyperlink" Target="https://rbi.org.in/Scripts/BS_ViewMasDirections.aspx?id=11510" TargetMode="External"/><Relationship Id="rId67" Type="http://schemas.openxmlformats.org/officeDocument/2006/relationships/hyperlink" Target="https://m.rbi.org.in/Scripts/BS_PressReleaseDisplay.aspx?prid=51381" TargetMode="External"/><Relationship Id="rId103" Type="http://schemas.openxmlformats.org/officeDocument/2006/relationships/fontTable" Target="fontTable.xml"/><Relationship Id="rId20" Type="http://schemas.openxmlformats.org/officeDocument/2006/relationships/hyperlink" Target="https://www.rbi.org.in/scripts/NotificationUser.aspx?Id=12365&amp;Mode=0" TargetMode="External"/><Relationship Id="rId41" Type="http://schemas.openxmlformats.org/officeDocument/2006/relationships/hyperlink" Target="https://rbi.org.in/Scripts/NotificationUser.aspx?Id=10257&amp;Mode=0" TargetMode="External"/><Relationship Id="rId54" Type="http://schemas.openxmlformats.org/officeDocument/2006/relationships/hyperlink" Target="https://rbi.org.in/Scripts/NotificationUser.aspx?Id=12389&amp;Mode=0" TargetMode="External"/><Relationship Id="rId62" Type="http://schemas.openxmlformats.org/officeDocument/2006/relationships/hyperlink" Target="https://www.rbi.org.in/Scripts/NotificationUser.aspx?Id=12395&amp;Mode=0" TargetMode="External"/><Relationship Id="rId70" Type="http://schemas.openxmlformats.org/officeDocument/2006/relationships/hyperlink" Target="https://m.rbi.org.in/Scripts/BS_CircularIndexDisplay.aspx?Id=12399" TargetMode="External"/><Relationship Id="rId75" Type="http://schemas.openxmlformats.org/officeDocument/2006/relationships/hyperlink" Target="https://www.rbi.org.in/Scripts/BS_ViewMasDirections.aspx?id=12131" TargetMode="External"/><Relationship Id="rId83" Type="http://schemas.openxmlformats.org/officeDocument/2006/relationships/hyperlink" Target="https://www.rbi.org.in/scripts/NotificationUser.aspx?Id=12412&amp;Mode=0" TargetMode="External"/><Relationship Id="rId88" Type="http://schemas.openxmlformats.org/officeDocument/2006/relationships/hyperlink" Target="https://m.rbi.org.in/Scripts/NotificationUser.aspx?Id=12416&amp;Mode=0" TargetMode="External"/><Relationship Id="rId91" Type="http://schemas.openxmlformats.org/officeDocument/2006/relationships/hyperlink" Target="https://rbi.org.in/Scripts/BS_PressReleaseDisplay.aspx?prid=54818" TargetMode="External"/><Relationship Id="rId96" Type="http://schemas.openxmlformats.org/officeDocument/2006/relationships/hyperlink" Target="https://rbi.org.in/Scripts/BS_ViewMasDirections.aspx?id=12158" TargetMode="External"/><Relationship Id="rId1" Type="http://schemas.openxmlformats.org/officeDocument/2006/relationships/customXml" Target="../customXml/item1.xml"/><Relationship Id="rId6" Type="http://schemas.openxmlformats.org/officeDocument/2006/relationships/hyperlink" Target="https://www.rbi.org.in/Scripts/NotificationUser.aspx?Id=5671&amp;Mode=0" TargetMode="External"/><Relationship Id="rId15" Type="http://schemas.openxmlformats.org/officeDocument/2006/relationships/hyperlink" Target="https://www.rbi.org.in/Scripts/NotificationUser.aspx?Id=11303&amp;Mode=0" TargetMode="External"/><Relationship Id="rId23" Type="http://schemas.openxmlformats.org/officeDocument/2006/relationships/hyperlink" Target="https://www.rbi.org.in/Scripts/BS_PressReleaseDisplay.aspx?prid=53979" TargetMode="External"/><Relationship Id="rId28" Type="http://schemas.openxmlformats.org/officeDocument/2006/relationships/hyperlink" Target="https://www.rbi.org.in/Scripts/BS_ViewMasDirections.aspx?id=10084" TargetMode="External"/><Relationship Id="rId36" Type="http://schemas.openxmlformats.org/officeDocument/2006/relationships/hyperlink" Target="https://rbidocs.rbi.org.in/rdocs/content/pdfs/GazetteRules23082022.pdf" TargetMode="External"/><Relationship Id="rId49" Type="http://schemas.openxmlformats.org/officeDocument/2006/relationships/hyperlink" Target="https://www.rbi.org.in/scripts/NotificationUser.aspx?Id=12383&amp;Mode=0" TargetMode="External"/><Relationship Id="rId57" Type="http://schemas.openxmlformats.org/officeDocument/2006/relationships/hyperlink" Target="https://rbi.org.in/Scripts/NotificationUser.aspx?Id=12389&amp;Mode=0" TargetMode="External"/><Relationship Id="rId10" Type="http://schemas.openxmlformats.org/officeDocument/2006/relationships/hyperlink" Target="https://rbi.org.in/Scripts/BS_ViewMasDirections.aspx?id=10394" TargetMode="External"/><Relationship Id="rId31" Type="http://schemas.openxmlformats.org/officeDocument/2006/relationships/hyperlink" Target="https://rbi.org.in/scripts/FS_Notification.aspx?Id=12378&amp;fn=2&amp;Mode=0" TargetMode="External"/><Relationship Id="rId44" Type="http://schemas.openxmlformats.org/officeDocument/2006/relationships/hyperlink" Target="https://rbi.org.in/Scripts/BS_CircularIndexDisplay.aspx?Id=12382" TargetMode="External"/><Relationship Id="rId52" Type="http://schemas.openxmlformats.org/officeDocument/2006/relationships/hyperlink" Target="https://www.rbi.org.in/scripts/NotificationUser.aspx?Id=12384&amp;Mode=0" TargetMode="External"/><Relationship Id="rId60" Type="http://schemas.openxmlformats.org/officeDocument/2006/relationships/hyperlink" Target="https://www.rbi.org.in/scripts/NotificationUser.aspx?Id=12393&amp;Mode=0" TargetMode="External"/><Relationship Id="rId65" Type="http://schemas.openxmlformats.org/officeDocument/2006/relationships/hyperlink" Target="https://www.rbi.org.in/Scripts/NotificationUser.aspx?Id=12396&amp;Mode=0" TargetMode="External"/><Relationship Id="rId73" Type="http://schemas.openxmlformats.org/officeDocument/2006/relationships/hyperlink" Target="https://www.rbi.org.in/scripts/FS_Notification.aspx?Id=12401&amp;fn=2&amp;Mode=0" TargetMode="External"/><Relationship Id="rId78" Type="http://schemas.openxmlformats.org/officeDocument/2006/relationships/hyperlink" Target="https://www.rbi.org.in/Scripts/NotificationUser.aspx?Id=12408&amp;Mode=0" TargetMode="External"/><Relationship Id="rId81" Type="http://schemas.openxmlformats.org/officeDocument/2006/relationships/hyperlink" Target="https://www.rbi.org.in/Scripts/BS_ViewMasDirections.aspx?id=10598" TargetMode="External"/><Relationship Id="rId86" Type="http://schemas.openxmlformats.org/officeDocument/2006/relationships/hyperlink" Target="https://m.rbi.org.in/scripts/FS_Notification.aspx?Id=12417&amp;fn=14&amp;Mode=0" TargetMode="External"/><Relationship Id="rId94" Type="http://schemas.openxmlformats.org/officeDocument/2006/relationships/hyperlink" Target="https://m.rbi.org.in/Scripts/NotificationUser.aspx?Id=8968&amp;Mode=0" TargetMode="External"/><Relationship Id="rId99" Type="http://schemas.openxmlformats.org/officeDocument/2006/relationships/hyperlink" Target="https://m.rbi.org.in/Scripts/BS_PressReleaseDisplay.aspx?prid=47819" TargetMode="External"/><Relationship Id="rId101" Type="http://schemas.openxmlformats.org/officeDocument/2006/relationships/hyperlink" Target="https://m.rbi.org.in/scripts/FS_Notification.aspx?Id=12431&amp;fn=9&amp;Mode=0" TargetMode="External"/><Relationship Id="rId4" Type="http://schemas.openxmlformats.org/officeDocument/2006/relationships/settings" Target="settings.xml"/><Relationship Id="rId9" Type="http://schemas.openxmlformats.org/officeDocument/2006/relationships/hyperlink" Target="https://www.rbi.org.in/Scripts/BS_ViewMasDirections.aspx?id=10296" TargetMode="External"/><Relationship Id="rId13" Type="http://schemas.openxmlformats.org/officeDocument/2006/relationships/hyperlink" Target="https://www.rbi.org.in/Scripts/BS_PressReleaseDisplay.aspx?prid=53979" TargetMode="External"/><Relationship Id="rId18" Type="http://schemas.openxmlformats.org/officeDocument/2006/relationships/hyperlink" Target="https://www.rbi.org.in/scripts/NotificationUser.aspx?Id=12361&amp;Mode=0" TargetMode="External"/><Relationship Id="rId39" Type="http://schemas.openxmlformats.org/officeDocument/2006/relationships/hyperlink" Target="https://rbi.org.in/Scripts/NotificationUser.aspx?Id=12380&amp;Mode=0" TargetMode="External"/><Relationship Id="rId34" Type="http://schemas.openxmlformats.org/officeDocument/2006/relationships/hyperlink" Target="https://rbidocs.rbi.org.in/rdocs/content/pdfs/GazetteRegulations230822.pdf" TargetMode="External"/><Relationship Id="rId50" Type="http://schemas.openxmlformats.org/officeDocument/2006/relationships/hyperlink" Target="https://www.rbi.org.in/Scripts/BS_ViewMasCirculardetails.aspx?id=12278" TargetMode="External"/><Relationship Id="rId55" Type="http://schemas.openxmlformats.org/officeDocument/2006/relationships/hyperlink" Target="https://rbi.org.in/Scripts/NotificationUser.aspx?Id=12389&amp;Mode=0" TargetMode="External"/><Relationship Id="rId76" Type="http://schemas.openxmlformats.org/officeDocument/2006/relationships/hyperlink" Target="https://www.rbi.org.in/scripts/FS_Notification.aspx?Id=12403&amp;fn=2&amp;Mode=0" TargetMode="External"/><Relationship Id="rId97" Type="http://schemas.openxmlformats.org/officeDocument/2006/relationships/hyperlink" Target="https://rbi.org.in/Scripts/BS_ViewMasDirections.aspx?id=12158" TargetMode="External"/><Relationship Id="rId104" Type="http://schemas.openxmlformats.org/officeDocument/2006/relationships/theme" Target="theme/theme1.xml"/><Relationship Id="rId7" Type="http://schemas.openxmlformats.org/officeDocument/2006/relationships/hyperlink" Target="https://www.rbi.org.in/Scripts/NotificationUser.aspx?Id=12347&amp;Mode=0" TargetMode="External"/><Relationship Id="rId71" Type="http://schemas.openxmlformats.org/officeDocument/2006/relationships/hyperlink" Target="https://www.rbi.org.in/Scripts/BS_ViewMasDirections.aspx?id=12158" TargetMode="External"/><Relationship Id="rId92" Type="http://schemas.openxmlformats.org/officeDocument/2006/relationships/hyperlink" Target="https://rbi.org.in/Scripts/NotificationUser.aspx?Id=12153&amp;Mode=0" TargetMode="External"/><Relationship Id="rId2" Type="http://schemas.openxmlformats.org/officeDocument/2006/relationships/numbering" Target="numbering.xml"/><Relationship Id="rId29" Type="http://schemas.openxmlformats.org/officeDocument/2006/relationships/hyperlink" Target="https://www.rbi.org.in/scripts/NotificationUser.aspx?Id=12368&amp;Mode=0" TargetMode="External"/><Relationship Id="rId24" Type="http://schemas.openxmlformats.org/officeDocument/2006/relationships/hyperlink" Target="https://rbidocs.rbi.org.in/rdocs/content/pdfs/GN3RFEMA01082022.pdf" TargetMode="External"/><Relationship Id="rId40" Type="http://schemas.openxmlformats.org/officeDocument/2006/relationships/hyperlink" Target="https://rbi.org.in/Scripts/NotificationUser.aspx?Id=2126&amp;Mode=0" TargetMode="External"/><Relationship Id="rId45" Type="http://schemas.openxmlformats.org/officeDocument/2006/relationships/hyperlink" Target="https://rbi.org.in/Scripts/BS_CircularIndexDisplay.aspx?Id=12382" TargetMode="External"/><Relationship Id="rId66" Type="http://schemas.openxmlformats.org/officeDocument/2006/relationships/hyperlink" Target="https://m.rbi.org.in/Scripts/BS_PressReleaseDisplay.aspx?prid=51382" TargetMode="External"/><Relationship Id="rId87" Type="http://schemas.openxmlformats.org/officeDocument/2006/relationships/hyperlink" Target="https://m.rbi.org.in/Scripts/BS_PressReleaseDisplay.aspx?prid=54059" TargetMode="External"/><Relationship Id="rId61" Type="http://schemas.openxmlformats.org/officeDocument/2006/relationships/hyperlink" Target="https://rbi.org.in/Scripts/BS_PressReleaseDisplay.aspx?prid=54149" TargetMode="External"/><Relationship Id="rId82" Type="http://schemas.openxmlformats.org/officeDocument/2006/relationships/hyperlink" Target="https://www.rbi.org.in/scripts/NotificationUser.aspx?Id=12412&amp;Mode=0" TargetMode="External"/><Relationship Id="rId19" Type="http://schemas.openxmlformats.org/officeDocument/2006/relationships/hyperlink" Target="https://www.rbi.org.in/scripts/FS_Notification.aspx?Id=12377&amp;fn=5&amp;Mode=0" TargetMode="External"/><Relationship Id="rId14" Type="http://schemas.openxmlformats.org/officeDocument/2006/relationships/hyperlink" Target="https://www.rbi.org.in/Scripts/NotificationUser.aspx?Id=12099&amp;Mode=0" TargetMode="External"/><Relationship Id="rId30" Type="http://schemas.openxmlformats.org/officeDocument/2006/relationships/hyperlink" Target="https://rbi.org.in/scripts/FS_Notification.aspx?Id=12378&amp;fn=2&amp;Mode=0" TargetMode="External"/><Relationship Id="rId35" Type="http://schemas.openxmlformats.org/officeDocument/2006/relationships/hyperlink" Target="https://rbidocs.rbi.org.in/rdocs/content/pdfs/GazetteRules23082022.pdf" TargetMode="External"/><Relationship Id="rId56" Type="http://schemas.openxmlformats.org/officeDocument/2006/relationships/hyperlink" Target="https://rbi.org.in/Scripts/NotificationUser.aspx?Id=12389&amp;Mode=0" TargetMode="External"/><Relationship Id="rId77" Type="http://schemas.openxmlformats.org/officeDocument/2006/relationships/hyperlink" Target="https://www.rbi.org.in/Scripts/BS_ViewMasCirculardetails.aspx?id=12274" TargetMode="External"/><Relationship Id="rId100" Type="http://schemas.openxmlformats.org/officeDocument/2006/relationships/hyperlink" Target="https://prism.rbi.org.in/DAKSH/portal/" TargetMode="External"/><Relationship Id="rId8" Type="http://schemas.openxmlformats.org/officeDocument/2006/relationships/hyperlink" Target="https://www.rbi.org.in/Scripts/NotificationUser.aspx?Id=12347&amp;Mode=0" TargetMode="External"/><Relationship Id="rId51" Type="http://schemas.openxmlformats.org/officeDocument/2006/relationships/hyperlink" Target="https://www.rbi.org.in/Scripts/BS_ViewMasCirculardetails.aspx?id=12278" TargetMode="External"/><Relationship Id="rId72" Type="http://schemas.openxmlformats.org/officeDocument/2006/relationships/hyperlink" Target="https://www.rbi.org.in/scripts/FS_Notification.aspx?Id=12401&amp;fn=2&amp;Mode=0" TargetMode="External"/><Relationship Id="rId93" Type="http://schemas.openxmlformats.org/officeDocument/2006/relationships/hyperlink" Target="https://www.rbi.org.in/scripts/FS_Notification.aspx?Id=12422&amp;fn=2&amp;Mode=0" TargetMode="External"/><Relationship Id="rId98" Type="http://schemas.openxmlformats.org/officeDocument/2006/relationships/hyperlink" Target="https://rbi.org.in/Scripts/NotificationUser.aspx?Id=12426&amp;Mode=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2476-2370-4540-995E-19677F21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11085</Words>
  <Characters>63191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soumya P</cp:lastModifiedBy>
  <cp:revision>3</cp:revision>
  <dcterms:created xsi:type="dcterms:W3CDTF">2023-03-01T05:19:00Z</dcterms:created>
  <dcterms:modified xsi:type="dcterms:W3CDTF">2023-03-01T05:22:00Z</dcterms:modified>
</cp:coreProperties>
</file>